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8B" w:rsidRPr="00337DFA" w:rsidRDefault="000E2E8B" w:rsidP="000E2E8B">
      <w:pPr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ru-RU"/>
        </w:rPr>
      </w:pPr>
      <w:r w:rsidRPr="00337DFA"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ru-RU"/>
        </w:rPr>
        <w:t>ДОПОГ 2013: основные изменения</w:t>
      </w:r>
    </w:p>
    <w:p w:rsidR="000E2E8B" w:rsidRPr="00F612A6" w:rsidRDefault="000E2E8B" w:rsidP="000E2E8B">
      <w:pPr>
        <w:spacing w:after="0" w:line="240" w:lineRule="auto"/>
        <w:outlineLvl w:val="1"/>
        <w:rPr>
          <w:rFonts w:ascii="Arial" w:eastAsia="Times New Roman" w:hAnsi="Arial" w:cs="Times New Roman"/>
          <w:b/>
          <w:bCs/>
          <w:sz w:val="16"/>
          <w:szCs w:val="36"/>
          <w:u w:val="single"/>
          <w:lang w:eastAsia="ru-RU"/>
        </w:rPr>
      </w:pPr>
    </w:p>
    <w:p w:rsidR="000E2E8B" w:rsidRPr="00337DFA" w:rsidRDefault="000E2E8B" w:rsidP="000E2E8B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 xml:space="preserve">Новый текст ДОПОГ подготовлен Рабочей группой по перевозкам опасных грузов Комитета по внутреннему транспорту Европейской </w:t>
      </w:r>
      <w:r w:rsidRPr="00337DFA">
        <w:rPr>
          <w:rFonts w:ascii="Arial" w:eastAsia="Times New Roman" w:hAnsi="Arial" w:cs="Times New Roman"/>
          <w:sz w:val="16"/>
          <w:szCs w:val="24"/>
          <w:lang w:eastAsia="ru-RU"/>
        </w:rPr>
        <w:t>экономической комиссии ещё в марте 2012 года.</w:t>
      </w:r>
    </w:p>
    <w:p w:rsidR="000E2E8B" w:rsidRPr="00337DFA" w:rsidRDefault="000E2E8B" w:rsidP="000E2E8B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337DFA">
        <w:rPr>
          <w:rFonts w:ascii="Arial" w:eastAsia="Times New Roman" w:hAnsi="Arial" w:cs="Times New Roman"/>
          <w:sz w:val="16"/>
          <w:szCs w:val="24"/>
          <w:lang w:eastAsia="ru-RU"/>
        </w:rPr>
        <w:t>При вступлении в силу новой версии ДОПОГ предусмотрен переходный период до 1 июля 2013 года, в течение которого действуют положения предыдущей версии текста ДОПОГ 2011 года.</w:t>
      </w:r>
    </w:p>
    <w:p w:rsidR="000E2E8B" w:rsidRPr="00337DFA" w:rsidRDefault="000E2E8B" w:rsidP="000E2E8B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337DFA">
        <w:rPr>
          <w:rFonts w:ascii="Arial" w:eastAsia="Times New Roman" w:hAnsi="Arial" w:cs="Times New Roman"/>
          <w:sz w:val="16"/>
          <w:szCs w:val="24"/>
          <w:lang w:eastAsia="ru-RU"/>
        </w:rPr>
        <w:t xml:space="preserve">Наиболее значимые изменения текста ДОПОГ 2013 по отношению к тексту Европейского Соглашения о международной дорожной перевозке опасных грузов 2011 года: </w:t>
      </w:r>
    </w:p>
    <w:p w:rsidR="000E2E8B" w:rsidRPr="00337DFA" w:rsidRDefault="000E2E8B" w:rsidP="000E2E8B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0E2E8B" w:rsidRPr="00F612A6" w:rsidRDefault="000E2E8B" w:rsidP="000E2E8B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</w:pP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>Глава 1.6</w:t>
      </w: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br/>
        <w:t>Перехо</w:t>
      </w:r>
      <w:r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>дные меры (Касательно действия с</w:t>
      </w: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>видетельств</w:t>
      </w:r>
      <w:r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>а</w:t>
      </w: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 xml:space="preserve"> профессиональной подготовк</w:t>
      </w:r>
      <w:r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>и</w:t>
      </w: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 xml:space="preserve"> водителей по перевозкам опасных грузов старого образца).</w:t>
      </w:r>
    </w:p>
    <w:p w:rsidR="000E2E8B" w:rsidRPr="00F612A6" w:rsidRDefault="000E2E8B" w:rsidP="000E2E8B">
      <w:pPr>
        <w:spacing w:after="0" w:line="240" w:lineRule="auto"/>
        <w:ind w:left="1440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>31 декабря 2013 года закончился переходный период по введению нового формата свидетельства о подготовке водителей. Начиная с 1 января 2013 года, данные свидетельства должны выдаваться в виде пластиковой карточки.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>
        <w:rPr>
          <w:rFonts w:ascii="Arial" w:eastAsia="Times New Roman" w:hAnsi="Arial" w:cs="Times New Roman"/>
          <w:sz w:val="16"/>
          <w:szCs w:val="24"/>
          <w:lang w:eastAsia="ru-RU"/>
        </w:rPr>
        <w:t>С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>видетельства старого образца, заверенные печатью государственного компетентного органа и выданные до 1 января 2013 года, могут по-прежнему использоваться до конца их пятилетнего срока действительности.</w:t>
      </w:r>
    </w:p>
    <w:p w:rsidR="000E2E8B" w:rsidRPr="00F612A6" w:rsidRDefault="000E2E8B" w:rsidP="000E2E8B">
      <w:pPr>
        <w:spacing w:after="0" w:line="240" w:lineRule="auto"/>
        <w:ind w:left="696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В положение 1.6.1.21 ДОПОГ внесено следующее изменение: 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1.6.1.21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Свидетельства о подготовке водителей, соответствующие образцу, применявшемуся до 31 декабря 2010 года, выданные Договаривающимися сторонами до 31 декабря 2012 года, могут по-прежнему использоваться до конца их пятилетнего срока действительности вместо свидетельств, соответствующих требованиям пункта 8.2.2.8.5 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0E2E8B" w:rsidRPr="00F612A6" w:rsidRDefault="000E2E8B" w:rsidP="000E2E8B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</w:pP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>Глава 1.10.3</w:t>
      </w: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br/>
        <w:t>Положения, касающиеся перевозки грузов повышенной опасности.</w:t>
      </w:r>
    </w:p>
    <w:p w:rsidR="000E2E8B" w:rsidRPr="00F612A6" w:rsidRDefault="000E2E8B" w:rsidP="000E2E8B">
      <w:pPr>
        <w:spacing w:after="0" w:line="240" w:lineRule="auto"/>
        <w:ind w:left="1440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 xml:space="preserve">Изменено определение грузов повышенной опасности (для класса опасности 7 дано более подробное определение). </w:t>
      </w:r>
    </w:p>
    <w:p w:rsidR="000E2E8B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>В положение 1.10.3.1 ДОП</w:t>
      </w:r>
      <w:r>
        <w:rPr>
          <w:rFonts w:ascii="Arial" w:eastAsia="Times New Roman" w:hAnsi="Arial" w:cs="Times New Roman"/>
          <w:sz w:val="16"/>
          <w:szCs w:val="24"/>
          <w:lang w:eastAsia="ru-RU"/>
        </w:rPr>
        <w:t>ОГ внесено следующее изменение:</w:t>
      </w:r>
    </w:p>
    <w:p w:rsidR="000E2E8B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1.10.3.1</w:t>
      </w:r>
      <w:r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.1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>Грузами повышенной опасности являются грузы, кот</w:t>
      </w:r>
      <w:r>
        <w:rPr>
          <w:rFonts w:ascii="Arial" w:eastAsia="Times New Roman" w:hAnsi="Arial" w:cs="Times New Roman"/>
          <w:sz w:val="16"/>
          <w:szCs w:val="24"/>
          <w:lang w:eastAsia="ru-RU"/>
        </w:rPr>
        <w:t xml:space="preserve">орые могут быть использованы не 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 xml:space="preserve">по назначению, а в террористических целях, и, следовательно, привести к серьезным последствиям, таким как многочисленные людские потери, массовые разрушения или, особенно в случае грузов класса 7, массовые социально-экономические потрясения. 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1.10.3.1.</w:t>
      </w:r>
      <w:r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3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>В случае опасных грузов класса 7 радиоактивными материалами повышенной опасности являются радиоактив</w:t>
      </w:r>
      <w:r>
        <w:rPr>
          <w:rFonts w:ascii="Arial" w:eastAsia="Times New Roman" w:hAnsi="Arial" w:cs="Times New Roman"/>
          <w:sz w:val="16"/>
          <w:szCs w:val="24"/>
          <w:lang w:eastAsia="ru-RU"/>
        </w:rPr>
        <w:t>ные материалы, у которых значе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>ние активности на отдельную упаковку равн</w:t>
      </w:r>
      <w:r>
        <w:rPr>
          <w:rFonts w:ascii="Arial" w:eastAsia="Times New Roman" w:hAnsi="Arial" w:cs="Times New Roman"/>
          <w:sz w:val="16"/>
          <w:szCs w:val="24"/>
          <w:lang w:eastAsia="ru-RU"/>
        </w:rPr>
        <w:t>о порогу безопасности для пере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 xml:space="preserve">возки 3 000 А2 или выше него (см. также пункт 2.2.7.2.2.1), за исключением следующих радионуклидов, для которых порог безопасности для перевозки приводится в таблице: </w:t>
      </w:r>
    </w:p>
    <w:p w:rsidR="000E2E8B" w:rsidRDefault="000E2E8B" w:rsidP="000E2E8B">
      <w:pPr>
        <w:spacing w:after="0" w:line="240" w:lineRule="auto"/>
        <w:ind w:left="720"/>
        <w:outlineLvl w:val="2"/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</w:pPr>
    </w:p>
    <w:p w:rsidR="000E2E8B" w:rsidRPr="00F612A6" w:rsidRDefault="000E2E8B" w:rsidP="000E2E8B">
      <w:pPr>
        <w:spacing w:after="0" w:line="240" w:lineRule="auto"/>
        <w:ind w:left="720"/>
        <w:outlineLvl w:val="2"/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</w:pP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>Таблица 1.10.3.1.3</w:t>
      </w: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br/>
        <w:t>Пороги безопасности для перевозки отдельных радионуклидов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9"/>
        <w:gridCol w:w="2524"/>
        <w:gridCol w:w="3370"/>
      </w:tblGrid>
      <w:tr w:rsidR="000E2E8B" w:rsidRPr="00F612A6" w:rsidTr="0093349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t>Элемент</w:t>
            </w:r>
          </w:p>
        </w:tc>
        <w:tc>
          <w:tcPr>
            <w:tcW w:w="1500" w:type="pct"/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t>Радионуклид</w:t>
            </w:r>
          </w:p>
        </w:tc>
        <w:tc>
          <w:tcPr>
            <w:tcW w:w="2000" w:type="pct"/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t>Порог безопасности для перевозки (ТБк)</w:t>
            </w:r>
          </w:p>
        </w:tc>
      </w:tr>
      <w:tr w:rsidR="000E2E8B" w:rsidRPr="00F612A6" w:rsidTr="00933491">
        <w:trPr>
          <w:tblCellSpacing w:w="15" w:type="dxa"/>
        </w:trPr>
        <w:tc>
          <w:tcPr>
            <w:tcW w:w="0" w:type="auto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Америций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Золото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Кадмий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Калифорний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Кюрий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Кобальт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Кобальт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Цезий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Железо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Германий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Гадолиний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Иридий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Никель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Палладий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Прометий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Полоний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Плутоний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Плутоний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Радий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lastRenderedPageBreak/>
              <w:t>Рутений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Селен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Стронций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Таллий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Тулий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Иттербий</w:t>
            </w:r>
          </w:p>
        </w:tc>
        <w:tc>
          <w:tcPr>
            <w:tcW w:w="0" w:type="auto"/>
            <w:hideMark/>
          </w:tcPr>
          <w:p w:rsidR="000E2E8B" w:rsidRPr="00F612A6" w:rsidRDefault="000E2E8B" w:rsidP="00933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lastRenderedPageBreak/>
              <w:t>Am-241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Au-198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Cd-109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Cf-252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Cm-244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Co-57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Co-60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Cs-137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Fe-55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Ge-68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Gd-153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Ir-192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Ni-63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Pd-103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Pm-147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Po-210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Pu-238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Pu-239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Ra-226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lastRenderedPageBreak/>
              <w:t>Ru-106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Se-75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Sr-90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Tl-204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Tm-170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  <w:br/>
              <w:t>Yb-169 3</w:t>
            </w:r>
          </w:p>
        </w:tc>
        <w:tc>
          <w:tcPr>
            <w:tcW w:w="0" w:type="auto"/>
            <w:hideMark/>
          </w:tcPr>
          <w:p w:rsidR="000E2E8B" w:rsidRPr="00F612A6" w:rsidRDefault="000E2E8B" w:rsidP="00933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lastRenderedPageBreak/>
              <w:t>0,6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2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200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0,2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0,5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7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0,3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1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8000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7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10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0,8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600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900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400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0,6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0,6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0,6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0,4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lastRenderedPageBreak/>
              <w:t>3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2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10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200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200</w:t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br/>
              <w:t>3</w:t>
            </w:r>
          </w:p>
        </w:tc>
      </w:tr>
    </w:tbl>
    <w:p w:rsidR="000E2E8B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lastRenderedPageBreak/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1.10.3.1.4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>В случае смесей радионуклидов факт достижения или превышения порога безопасности для перевозки может быт</w:t>
      </w:r>
      <w:r>
        <w:rPr>
          <w:rFonts w:ascii="Arial" w:eastAsia="Times New Roman" w:hAnsi="Arial" w:cs="Times New Roman"/>
          <w:sz w:val="16"/>
          <w:szCs w:val="24"/>
          <w:lang w:eastAsia="ru-RU"/>
        </w:rPr>
        <w:t>ь определен исходя из суммы ко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>эффициентов, полученных путем деления ак</w:t>
      </w:r>
      <w:r>
        <w:rPr>
          <w:rFonts w:ascii="Arial" w:eastAsia="Times New Roman" w:hAnsi="Arial" w:cs="Times New Roman"/>
          <w:sz w:val="16"/>
          <w:szCs w:val="24"/>
          <w:lang w:eastAsia="ru-RU"/>
        </w:rPr>
        <w:t>тивности каждого присутствующе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>го радионуклида на значение порога безопасно</w:t>
      </w:r>
      <w:r>
        <w:rPr>
          <w:rFonts w:ascii="Arial" w:eastAsia="Times New Roman" w:hAnsi="Arial" w:cs="Times New Roman"/>
          <w:sz w:val="16"/>
          <w:szCs w:val="24"/>
          <w:lang w:eastAsia="ru-RU"/>
        </w:rPr>
        <w:t>сти для перевозки данного ради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>онуклида. Если сумма коэффициентов состав</w:t>
      </w:r>
      <w:r>
        <w:rPr>
          <w:rFonts w:ascii="Arial" w:eastAsia="Times New Roman" w:hAnsi="Arial" w:cs="Times New Roman"/>
          <w:sz w:val="16"/>
          <w:szCs w:val="24"/>
          <w:lang w:eastAsia="ru-RU"/>
        </w:rPr>
        <w:t>ляет менее 1, то порог радиоак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 xml:space="preserve">тивности данной смеси не достигнут и не превышен (Далее приводится формула). 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1.10.3.1.5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>Если радиоактивный материал характеризуется дополнительными видами опасности других классов, должны учитываться также критерии</w:t>
      </w:r>
      <w:r>
        <w:rPr>
          <w:rFonts w:ascii="Arial" w:eastAsia="Times New Roman" w:hAnsi="Arial" w:cs="Times New Roman"/>
          <w:sz w:val="16"/>
          <w:szCs w:val="24"/>
          <w:lang w:eastAsia="ru-RU"/>
        </w:rPr>
        <w:t>, ука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 xml:space="preserve">занные в таблице 1.10.3.1.2 (см. также раздел 1.7.5)". 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1.10.3.2.1 и 1.10.3.3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>Заменить "гр</w:t>
      </w:r>
      <w:r>
        <w:rPr>
          <w:rFonts w:ascii="Arial" w:eastAsia="Times New Roman" w:hAnsi="Arial" w:cs="Times New Roman"/>
          <w:sz w:val="16"/>
          <w:szCs w:val="24"/>
          <w:lang w:eastAsia="ru-RU"/>
        </w:rPr>
        <w:t>узов повышенной опасности, ука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 xml:space="preserve">занные в разделах 1.4.2 и 1.4.3 (см. таблицу 1.10.5)" на "грузов повышенной опасности (см. таблицу 1.10.3.1.2) или радиоактивных материалов повышенной опасности (см. пункт 1.10.3.1.3), указанные в разделах 1.4.2 и 1.4.3,". 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1.10.4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После "и 0500" включить "и за исключением № ООН 2910 и 2911, если уровень активности превышает значение A2". В конце добавить следующее новое предложение: "Кроме того, положения настоящей главы не применяются к перевозке № ООН 2912 РАДИОАКТИВНЫЙ МАТЕРИАЛ, НИЗКАЯ УДЕЛЬНАЯ АКТИВНОСТЬ (LSA-I) и № ООН 2913 РАДИОАКТИВНЫЙ МАТЕРИАЛ, ОБЪЕКТЫ С ПОВЕРХНОСТНЫМ РАДИОАКТИВНЫМ ЗАГРЯЗНЕНИЕМ (SCO-I)". 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1.10.6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>(перенумерован в 1.10.5) В сноск</w:t>
      </w:r>
      <w:r>
        <w:rPr>
          <w:rFonts w:ascii="Arial" w:eastAsia="Times New Roman" w:hAnsi="Arial" w:cs="Times New Roman"/>
          <w:sz w:val="16"/>
          <w:szCs w:val="24"/>
          <w:lang w:eastAsia="ru-RU"/>
        </w:rPr>
        <w:t>е 2 исключить последнее предло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 xml:space="preserve">жение ("См. также «Руководящие материалы и соображения по осуществлению документа INFCIRC/225/Rev.4, "Физическая защита ядерного материала и ядерных установок"», IAEA-TECDoc-967/Rev.1".). 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0E2E8B" w:rsidRPr="00F612A6" w:rsidRDefault="000E2E8B" w:rsidP="000E2E8B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</w:pP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>Глава 3.4</w:t>
      </w: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br/>
        <w:t>Опасные грузы, упакованные в ограниченных количествах.</w:t>
      </w:r>
    </w:p>
    <w:p w:rsidR="000E2E8B" w:rsidRPr="00F612A6" w:rsidRDefault="000E2E8B" w:rsidP="000E2E8B">
      <w:pPr>
        <w:spacing w:after="0" w:line="240" w:lineRule="auto"/>
        <w:ind w:left="1440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0E2E8B" w:rsidRPr="00F612A6" w:rsidRDefault="000E2E8B" w:rsidP="00A23E9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 xml:space="preserve">Изменение маркировки транспортных единиц, в которых перевозятся упаковки с опасными грузами в ограниченных количествах 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Положения 3.4.13 а) и б) изменены следующим образом: </w:t>
      </w:r>
    </w:p>
    <w:p w:rsidR="000E2E8B" w:rsidRPr="00F612A6" w:rsidRDefault="000E2E8B" w:rsidP="00A23E9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а) Транспортные единицы максимальной массой свыше 12 т, в которых перевозятся упаковки с опасными грузами в ограниченных количествах, должны иметь спереди и сзади маркировку в соответствии с разделом 3.4.15, за исключением случая, когда в транспортной единице содержатся другие опасные грузы, для которых требуется маркировка в виде табличек оранжевого цвета в соответствии с разделом 5.3.2. В последнем случае на транспортном средстве могут быть размещены только требуемые таблички оранжевого цвета или одновременно таблички оранжевого цвета в соответствии с разделом 5.3.2 и маркировка в соответствии с разделом 3.4.15. 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b) Контейнеры, в которых на транспортных единицах максимальной массой свыше 12 т перевозятся упаковки с опасными грузами в ограниченных количествах, должны иметь на всех четырех боковых сторонах маркировку в соответствии с разделом 3.4.15, за исключением случая, когда в контейнере содержатся другие опасные грузы, для которых требуется размещение информационных табло в соответствии с разделом 5.3.1. В последнем случае на контейнере могут быть размещены только требуемые информационные табло или одновременно информационные табло в соответствии с разделом 5.3.1 и маркировка в соответствии с разделом 3.4.15. 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0E2E8B" w:rsidRPr="00F612A6" w:rsidRDefault="000E2E8B" w:rsidP="000E2E8B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</w:pP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>Глава 5.2</w:t>
      </w: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br/>
        <w:t>Маркировка и знаки опасности.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В 5.2.2.1 (Положения, касающиеся нанесения знаков опасности на тару) добавлено второе предложение: "Номер ООН и буквы "UN" должны иметь высоту не менее 12 мм, за исключением тары вместимостью 30 л или 30 кг или менее, когда они должны иметь высоту не менее 6 мм, и тары вместимостью 5 л или 5 кг или менее, когда они должны быть соотносимого размера". 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0E2E8B" w:rsidRPr="00F612A6" w:rsidRDefault="000E2E8B" w:rsidP="000E2E8B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</w:pP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>Глава 5.3</w:t>
      </w: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br/>
        <w:t>Размещение информационных табло и маркировки на контейнерах, МЭГК, МEMU, контейнерах-цистернах, переносных цистернах и транспортных средствах.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>В конце пункта 5.3.2.1.1 включен новый абзац: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"Если прицеп, в котором содержатся опасные грузы, отцеплен от буксирующего его транспортного средства в ходе перевозки опасных грузов, табличка оранжевого цвета должна оставаться прикрепленной сзади прицепа". 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0E2E8B" w:rsidRPr="00F612A6" w:rsidRDefault="000E2E8B" w:rsidP="000E2E8B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</w:pP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>Глава 5.4.1</w:t>
      </w: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br/>
        <w:t>Транспортный документ на опасные грузы и связанная с ним информация.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5.4.1.1.18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(специальные положения, касающиеся перевозки веществ, опасных для окружающей водной среды). 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>В первом подпункте после слов "ОПАСНОЕ ДЛЯ ОКРУЖАЮЩЕЙ СРЕДЫ" включены с</w:t>
      </w:r>
      <w:r>
        <w:rPr>
          <w:rFonts w:ascii="Arial" w:eastAsia="Times New Roman" w:hAnsi="Arial" w:cs="Times New Roman"/>
          <w:sz w:val="16"/>
          <w:szCs w:val="24"/>
          <w:lang w:eastAsia="ru-RU"/>
        </w:rPr>
        <w:t xml:space="preserve">лова «или "ЗАГРЯЗНИТЕЛЬ МОРСКОЙ 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 xml:space="preserve">СРЕДЫ/ОПАСНОЕ ДЛЯ ОКРУЖАЮЩЕЙ СРЕДЫ"». 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lastRenderedPageBreak/>
        <w:br/>
        <w:t xml:space="preserve">Во втором подпункте исключены слова «вместо записи "ОПАСНОЕ ДЛЯ ОКРУЖАЮЩЕЙ СРЕДЫ"». 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0E2E8B" w:rsidRPr="00F612A6" w:rsidRDefault="000E2E8B" w:rsidP="000E2E8B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</w:pP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>Глава 5.5</w:t>
      </w: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br/>
        <w:t>Специальные положения.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>Включен новый раздел: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>"</w:t>
      </w:r>
      <w:r w:rsidRPr="00F612A6"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5.5.3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Специальные положения, применяемые к упаковкам и транспортным средствам и контейнерам, содержащим вещества, представляющие опасность асфиксии при использовании для целей охлаждения или кондиционирования (такие, как сухой лед (№ ООН 1845), или азот охлажденный жидкий (№ ООН 1977), или аргон охлажденный жидкий (№ ООН 1951))”. 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0E2E8B" w:rsidRPr="00F612A6" w:rsidRDefault="000E2E8B" w:rsidP="000E2E8B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</w:pP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>Глава 7.5</w:t>
      </w: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br/>
        <w:t>Положения, касающиеся погрузки, разгрузки и обработки грузов.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Включен новый пункт: 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7.5.2.4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Запрещается совместная погрузка опасных грузов, упакованных в ограниченных количествах, со взрывчатыми веществами и изделиями любого типа, за исключением веществ и изделий подкласса 1.4 и № ООН 0161 и 0499". 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>В конце 7.5.7.1 (Обработка и укладка грузов) добавлено: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"Требования настоящего пункта считаются выполненными, когда груз закреплен в соответствии со стандартом EN 12195-1:2010". 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0E2E8B" w:rsidRPr="00F612A6" w:rsidRDefault="000E2E8B" w:rsidP="000E2E8B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</w:pP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>Глава 8</w:t>
      </w: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br/>
        <w:t>Требования, касающиеся экипажей, оборудования и эксплуатации транспортных средств, а также документации.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Изменен пункт 8.1.4.1: 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"8.1.4.1 В нижеследующей таблице содержатся минимальные предписания для переносных огнетушителей, используемых для тушения пожаров класов1 A, B и C, которые применяются к транспортным единицам, перевозящим опасные грузы, за исключением тех, которые упомянуты в пункте 8.1.4.2: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6"/>
        <w:gridCol w:w="2071"/>
        <w:gridCol w:w="2072"/>
        <w:gridCol w:w="2072"/>
        <w:gridCol w:w="2087"/>
      </w:tblGrid>
      <w:tr w:rsidR="000E2E8B" w:rsidRPr="00F612A6" w:rsidTr="00933491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8B" w:rsidRPr="00F612A6" w:rsidRDefault="000E2E8B" w:rsidP="00933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t>(1)</w:t>
            </w: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br/>
              <w:t>Максимально допустимая масса транспортной единицы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8B" w:rsidRPr="00F612A6" w:rsidRDefault="000E2E8B" w:rsidP="00933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t>(2)</w:t>
            </w: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br/>
              <w:t>Минимальное число огнетушителей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8B" w:rsidRPr="00F612A6" w:rsidRDefault="000E2E8B" w:rsidP="00933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t>(3)</w:t>
            </w: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br/>
              <w:t>Минимальная совокупная емкость на транспортную единицу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8B" w:rsidRPr="00F612A6" w:rsidRDefault="000E2E8B" w:rsidP="00933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t>(4)</w:t>
            </w: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br/>
              <w:t>Огнетушитель пригоден для тушения пожара в моторном отделении или кабине − по крайней мере один огнетушитель минимальной емкостью: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8B" w:rsidRPr="00F612A6" w:rsidRDefault="000E2E8B" w:rsidP="00933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t>(5)</w:t>
            </w: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br/>
            </w:r>
            <w:r w:rsidRPr="00F612A6">
              <w:rPr>
                <w:rFonts w:ascii="Arial" w:eastAsia="Times New Roman" w:hAnsi="Arial" w:cs="Times New Roman"/>
                <w:b/>
                <w:bCs/>
                <w:sz w:val="16"/>
                <w:szCs w:val="24"/>
                <w:lang w:eastAsia="ru-RU"/>
              </w:rPr>
              <w:br/>
              <w:t>Требование в отношении дополнительных огнетушителей − по крайней мере один огнетушитель минимальной емкостью:</w:t>
            </w:r>
          </w:p>
        </w:tc>
      </w:tr>
      <w:tr w:rsidR="000E2E8B" w:rsidRPr="00F612A6" w:rsidTr="009334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≤ 3,5 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4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2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2 кг</w:t>
            </w:r>
          </w:p>
        </w:tc>
      </w:tr>
      <w:tr w:rsidR="000E2E8B" w:rsidRPr="00F612A6" w:rsidTr="009334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&gt; 3,5 т ≤ 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8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2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6 кг</w:t>
            </w:r>
          </w:p>
        </w:tc>
      </w:tr>
      <w:tr w:rsidR="000E2E8B" w:rsidRPr="00F612A6" w:rsidTr="009334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&gt; 7,5 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12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2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6 кг</w:t>
            </w:r>
          </w:p>
        </w:tc>
      </w:tr>
      <w:tr w:rsidR="000E2E8B" w:rsidRPr="00F612A6" w:rsidTr="0093349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E2E8B" w:rsidRPr="00F612A6" w:rsidRDefault="000E2E8B" w:rsidP="009334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F612A6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Емкость указана для огнетушителей, работающих на сухом порошке (в случае любого другого подходящего огнетушащего состава емкость должна быть эквивалентной)".</w:t>
            </w:r>
          </w:p>
        </w:tc>
      </w:tr>
    </w:tbl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0E2E8B" w:rsidRPr="00F612A6" w:rsidRDefault="000E2E8B" w:rsidP="000E2E8B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</w:pP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t>Глава 8.6</w:t>
      </w:r>
      <w:r w:rsidRPr="00F612A6">
        <w:rPr>
          <w:rFonts w:ascii="Arial" w:eastAsia="Times New Roman" w:hAnsi="Arial" w:cs="Times New Roman"/>
          <w:b/>
          <w:bCs/>
          <w:sz w:val="16"/>
          <w:szCs w:val="27"/>
          <w:lang w:eastAsia="ru-RU"/>
        </w:rPr>
        <w:br/>
        <w:t>Ограничения на проезд транспортных средств, перевозящих опасные грузы, через автодорожные туннели.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 xml:space="preserve">Введено ограничение для транспортных средств, перевозящих опасные грузы, упакованные в ограниченных количествах. 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</w:r>
      <w:r w:rsidRPr="00F612A6"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8.6.3.3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br/>
        <w:t>В конце добавлен следующий текст</w:t>
      </w:r>
      <w:r>
        <w:rPr>
          <w:rFonts w:ascii="Arial" w:eastAsia="Times New Roman" w:hAnsi="Arial" w:cs="Times New Roman"/>
          <w:sz w:val="16"/>
          <w:szCs w:val="24"/>
          <w:lang w:eastAsia="ru-RU"/>
        </w:rPr>
        <w:t>:</w:t>
      </w:r>
      <w:r>
        <w:rPr>
          <w:rFonts w:ascii="Arial" w:eastAsia="Times New Roman" w:hAnsi="Arial" w:cs="Times New Roman"/>
          <w:sz w:val="16"/>
          <w:szCs w:val="24"/>
          <w:lang w:eastAsia="ru-RU"/>
        </w:rPr>
        <w:br/>
        <w:t>"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>за исключением случая, когда транспортная единица должна иметь маркировку, предписанную в пункте 3.4.13 с учетом пункта 3.4.14</w:t>
      </w:r>
      <w:r w:rsidRPr="00F612A6"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*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 xml:space="preserve">". </w:t>
      </w:r>
    </w:p>
    <w:p w:rsidR="000E2E8B" w:rsidRPr="00F612A6" w:rsidRDefault="000E2E8B" w:rsidP="000E2E8B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24"/>
          <w:lang w:eastAsia="ru-RU"/>
        </w:rPr>
      </w:pPr>
      <w:r w:rsidRPr="00F612A6">
        <w:rPr>
          <w:rFonts w:ascii="Arial" w:eastAsia="Times New Roman" w:hAnsi="Arial" w:cs="Times New Roman"/>
          <w:b/>
          <w:bCs/>
          <w:sz w:val="16"/>
          <w:szCs w:val="24"/>
          <w:lang w:eastAsia="ru-RU"/>
        </w:rPr>
        <w:t>*</w:t>
      </w:r>
      <w:r w:rsidRPr="00F612A6">
        <w:rPr>
          <w:rFonts w:ascii="Arial" w:eastAsia="Times New Roman" w:hAnsi="Arial" w:cs="Times New Roman"/>
          <w:sz w:val="16"/>
          <w:szCs w:val="24"/>
          <w:lang w:eastAsia="ru-RU"/>
        </w:rPr>
        <w:t xml:space="preserve"> 1 или маркировку в соответствии с пунктом 3.4.10 с учетом пункта 3.4.11 ДОПОГ, применявшегося до 31 декабря 2010 года, если применяются переходные меры, предусмотренные в пункте 1.6.1.20. </w:t>
      </w:r>
    </w:p>
    <w:p w:rsidR="000E2E8B" w:rsidRPr="00F612A6" w:rsidRDefault="000E2E8B" w:rsidP="000E2E8B">
      <w:pPr>
        <w:spacing w:after="0" w:line="240" w:lineRule="auto"/>
        <w:rPr>
          <w:rFonts w:ascii="Arial" w:hAnsi="Arial"/>
          <w:sz w:val="16"/>
        </w:rPr>
      </w:pPr>
    </w:p>
    <w:p w:rsidR="0029023B" w:rsidRDefault="0029023B"/>
    <w:sectPr w:rsidR="0029023B" w:rsidSect="00B33FFF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B21"/>
    <w:multiLevelType w:val="multilevel"/>
    <w:tmpl w:val="2B82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2E8B"/>
    <w:rsid w:val="0000062C"/>
    <w:rsid w:val="00000649"/>
    <w:rsid w:val="00000A83"/>
    <w:rsid w:val="00000C67"/>
    <w:rsid w:val="0000138E"/>
    <w:rsid w:val="000073FE"/>
    <w:rsid w:val="000108C0"/>
    <w:rsid w:val="00010ADD"/>
    <w:rsid w:val="000120ED"/>
    <w:rsid w:val="0001398B"/>
    <w:rsid w:val="000160CE"/>
    <w:rsid w:val="00020730"/>
    <w:rsid w:val="00020826"/>
    <w:rsid w:val="00020A03"/>
    <w:rsid w:val="000229C5"/>
    <w:rsid w:val="00023F33"/>
    <w:rsid w:val="000251D9"/>
    <w:rsid w:val="00027E74"/>
    <w:rsid w:val="00027F15"/>
    <w:rsid w:val="000314DC"/>
    <w:rsid w:val="00031C24"/>
    <w:rsid w:val="0003214E"/>
    <w:rsid w:val="0003350E"/>
    <w:rsid w:val="00033C7B"/>
    <w:rsid w:val="000361FD"/>
    <w:rsid w:val="00036A5D"/>
    <w:rsid w:val="0003793E"/>
    <w:rsid w:val="000413D9"/>
    <w:rsid w:val="00041632"/>
    <w:rsid w:val="00041748"/>
    <w:rsid w:val="00041D03"/>
    <w:rsid w:val="0004305E"/>
    <w:rsid w:val="00045002"/>
    <w:rsid w:val="000456E4"/>
    <w:rsid w:val="000457BE"/>
    <w:rsid w:val="000467DC"/>
    <w:rsid w:val="000478A7"/>
    <w:rsid w:val="0005004C"/>
    <w:rsid w:val="000501A5"/>
    <w:rsid w:val="000514E6"/>
    <w:rsid w:val="00051776"/>
    <w:rsid w:val="00052781"/>
    <w:rsid w:val="00054920"/>
    <w:rsid w:val="0005573B"/>
    <w:rsid w:val="00057868"/>
    <w:rsid w:val="0006119B"/>
    <w:rsid w:val="00063121"/>
    <w:rsid w:val="00063793"/>
    <w:rsid w:val="00063C7F"/>
    <w:rsid w:val="0006677B"/>
    <w:rsid w:val="000673C4"/>
    <w:rsid w:val="0006754D"/>
    <w:rsid w:val="00067D8D"/>
    <w:rsid w:val="00072723"/>
    <w:rsid w:val="00072D27"/>
    <w:rsid w:val="00074944"/>
    <w:rsid w:val="000750A6"/>
    <w:rsid w:val="00075947"/>
    <w:rsid w:val="0007799E"/>
    <w:rsid w:val="00081040"/>
    <w:rsid w:val="00082EC3"/>
    <w:rsid w:val="00083028"/>
    <w:rsid w:val="000837CE"/>
    <w:rsid w:val="0008675A"/>
    <w:rsid w:val="00087D65"/>
    <w:rsid w:val="0009004C"/>
    <w:rsid w:val="0009032D"/>
    <w:rsid w:val="00090F90"/>
    <w:rsid w:val="00091110"/>
    <w:rsid w:val="00092018"/>
    <w:rsid w:val="0009228B"/>
    <w:rsid w:val="000930DD"/>
    <w:rsid w:val="00095999"/>
    <w:rsid w:val="00095B76"/>
    <w:rsid w:val="000962CC"/>
    <w:rsid w:val="00097B2F"/>
    <w:rsid w:val="000A1188"/>
    <w:rsid w:val="000A16A8"/>
    <w:rsid w:val="000A1B47"/>
    <w:rsid w:val="000A4DFB"/>
    <w:rsid w:val="000A5443"/>
    <w:rsid w:val="000A6710"/>
    <w:rsid w:val="000A6981"/>
    <w:rsid w:val="000B06BF"/>
    <w:rsid w:val="000B0B63"/>
    <w:rsid w:val="000B5C1E"/>
    <w:rsid w:val="000B622F"/>
    <w:rsid w:val="000B6D5D"/>
    <w:rsid w:val="000B7073"/>
    <w:rsid w:val="000B79D0"/>
    <w:rsid w:val="000C0627"/>
    <w:rsid w:val="000C5469"/>
    <w:rsid w:val="000C56C5"/>
    <w:rsid w:val="000D0D4F"/>
    <w:rsid w:val="000D0E7D"/>
    <w:rsid w:val="000D1588"/>
    <w:rsid w:val="000D29B5"/>
    <w:rsid w:val="000D4368"/>
    <w:rsid w:val="000D4463"/>
    <w:rsid w:val="000D5706"/>
    <w:rsid w:val="000D63FF"/>
    <w:rsid w:val="000D6CF9"/>
    <w:rsid w:val="000D7846"/>
    <w:rsid w:val="000E2E8B"/>
    <w:rsid w:val="000E4CF0"/>
    <w:rsid w:val="000F4358"/>
    <w:rsid w:val="000F52F0"/>
    <w:rsid w:val="000F7B8D"/>
    <w:rsid w:val="0010145F"/>
    <w:rsid w:val="00101FCD"/>
    <w:rsid w:val="0010444A"/>
    <w:rsid w:val="0010621E"/>
    <w:rsid w:val="001077DE"/>
    <w:rsid w:val="00107FFC"/>
    <w:rsid w:val="0011336E"/>
    <w:rsid w:val="00117DB2"/>
    <w:rsid w:val="001219C9"/>
    <w:rsid w:val="00121F37"/>
    <w:rsid w:val="001228BC"/>
    <w:rsid w:val="00122A0C"/>
    <w:rsid w:val="00122C1A"/>
    <w:rsid w:val="00123119"/>
    <w:rsid w:val="00126595"/>
    <w:rsid w:val="001331D1"/>
    <w:rsid w:val="00134671"/>
    <w:rsid w:val="00134921"/>
    <w:rsid w:val="001365F7"/>
    <w:rsid w:val="00136EA6"/>
    <w:rsid w:val="00137AF4"/>
    <w:rsid w:val="00140E4B"/>
    <w:rsid w:val="0014150D"/>
    <w:rsid w:val="001422D2"/>
    <w:rsid w:val="00143418"/>
    <w:rsid w:val="00143BD4"/>
    <w:rsid w:val="00143D65"/>
    <w:rsid w:val="00144B03"/>
    <w:rsid w:val="001471DE"/>
    <w:rsid w:val="00147D87"/>
    <w:rsid w:val="00150359"/>
    <w:rsid w:val="00150429"/>
    <w:rsid w:val="00152123"/>
    <w:rsid w:val="00153372"/>
    <w:rsid w:val="0015397B"/>
    <w:rsid w:val="001547AF"/>
    <w:rsid w:val="00156595"/>
    <w:rsid w:val="0016091F"/>
    <w:rsid w:val="00162DB0"/>
    <w:rsid w:val="0016578F"/>
    <w:rsid w:val="00167B87"/>
    <w:rsid w:val="00172C86"/>
    <w:rsid w:val="00176B99"/>
    <w:rsid w:val="0017711E"/>
    <w:rsid w:val="001806B7"/>
    <w:rsid w:val="00181698"/>
    <w:rsid w:val="001817C4"/>
    <w:rsid w:val="00184576"/>
    <w:rsid w:val="0018475A"/>
    <w:rsid w:val="00184B60"/>
    <w:rsid w:val="00184CC1"/>
    <w:rsid w:val="00185072"/>
    <w:rsid w:val="001856ED"/>
    <w:rsid w:val="00186AB0"/>
    <w:rsid w:val="00190508"/>
    <w:rsid w:val="00190A71"/>
    <w:rsid w:val="00190F7F"/>
    <w:rsid w:val="00192B13"/>
    <w:rsid w:val="001963C1"/>
    <w:rsid w:val="001967C7"/>
    <w:rsid w:val="00196A9E"/>
    <w:rsid w:val="00196EAD"/>
    <w:rsid w:val="00196F2B"/>
    <w:rsid w:val="001971B0"/>
    <w:rsid w:val="00197B9F"/>
    <w:rsid w:val="001A07ED"/>
    <w:rsid w:val="001A3627"/>
    <w:rsid w:val="001A39AB"/>
    <w:rsid w:val="001A5225"/>
    <w:rsid w:val="001B4A28"/>
    <w:rsid w:val="001C068A"/>
    <w:rsid w:val="001C42B8"/>
    <w:rsid w:val="001C4E4E"/>
    <w:rsid w:val="001C6168"/>
    <w:rsid w:val="001C7184"/>
    <w:rsid w:val="001C754C"/>
    <w:rsid w:val="001D159B"/>
    <w:rsid w:val="001D256C"/>
    <w:rsid w:val="001D305C"/>
    <w:rsid w:val="001D4124"/>
    <w:rsid w:val="001D5198"/>
    <w:rsid w:val="001D52FB"/>
    <w:rsid w:val="001D74D1"/>
    <w:rsid w:val="001D7AF9"/>
    <w:rsid w:val="001E0A71"/>
    <w:rsid w:val="001E212B"/>
    <w:rsid w:val="001E5BB9"/>
    <w:rsid w:val="001F04CF"/>
    <w:rsid w:val="001F076E"/>
    <w:rsid w:val="001F0DB4"/>
    <w:rsid w:val="001F42AE"/>
    <w:rsid w:val="001F6DE9"/>
    <w:rsid w:val="002029DB"/>
    <w:rsid w:val="00202AAF"/>
    <w:rsid w:val="00203D9D"/>
    <w:rsid w:val="002048CC"/>
    <w:rsid w:val="002122BD"/>
    <w:rsid w:val="0021342F"/>
    <w:rsid w:val="002140D8"/>
    <w:rsid w:val="00215FE3"/>
    <w:rsid w:val="00217AA7"/>
    <w:rsid w:val="00217FF1"/>
    <w:rsid w:val="00220564"/>
    <w:rsid w:val="00222D14"/>
    <w:rsid w:val="002243AC"/>
    <w:rsid w:val="00225CF2"/>
    <w:rsid w:val="00230E05"/>
    <w:rsid w:val="002315F3"/>
    <w:rsid w:val="002335C0"/>
    <w:rsid w:val="002338D2"/>
    <w:rsid w:val="00233AF0"/>
    <w:rsid w:val="00235407"/>
    <w:rsid w:val="00236FB3"/>
    <w:rsid w:val="00242159"/>
    <w:rsid w:val="002449BA"/>
    <w:rsid w:val="00244B95"/>
    <w:rsid w:val="00245CAB"/>
    <w:rsid w:val="00246DEE"/>
    <w:rsid w:val="00250242"/>
    <w:rsid w:val="00251D86"/>
    <w:rsid w:val="00253658"/>
    <w:rsid w:val="00253A88"/>
    <w:rsid w:val="00254136"/>
    <w:rsid w:val="00255C63"/>
    <w:rsid w:val="002563A1"/>
    <w:rsid w:val="0025716C"/>
    <w:rsid w:val="002618AA"/>
    <w:rsid w:val="00262076"/>
    <w:rsid w:val="002623EE"/>
    <w:rsid w:val="00263250"/>
    <w:rsid w:val="002649FC"/>
    <w:rsid w:val="00264B5C"/>
    <w:rsid w:val="002657C3"/>
    <w:rsid w:val="00265BA8"/>
    <w:rsid w:val="0026628A"/>
    <w:rsid w:val="00273B73"/>
    <w:rsid w:val="002744E6"/>
    <w:rsid w:val="0027476E"/>
    <w:rsid w:val="00274A56"/>
    <w:rsid w:val="00275093"/>
    <w:rsid w:val="00275636"/>
    <w:rsid w:val="00275AAF"/>
    <w:rsid w:val="002777A4"/>
    <w:rsid w:val="002801C6"/>
    <w:rsid w:val="00280B3D"/>
    <w:rsid w:val="00280B86"/>
    <w:rsid w:val="002821A1"/>
    <w:rsid w:val="00282E1A"/>
    <w:rsid w:val="00283374"/>
    <w:rsid w:val="00284151"/>
    <w:rsid w:val="002872DD"/>
    <w:rsid w:val="00287A53"/>
    <w:rsid w:val="0029023B"/>
    <w:rsid w:val="002915DA"/>
    <w:rsid w:val="0029437B"/>
    <w:rsid w:val="00294A7E"/>
    <w:rsid w:val="002952F3"/>
    <w:rsid w:val="0029576F"/>
    <w:rsid w:val="00295803"/>
    <w:rsid w:val="00295CDF"/>
    <w:rsid w:val="00295D27"/>
    <w:rsid w:val="002A003C"/>
    <w:rsid w:val="002A2F9F"/>
    <w:rsid w:val="002A3365"/>
    <w:rsid w:val="002A3F11"/>
    <w:rsid w:val="002A49CD"/>
    <w:rsid w:val="002A4D16"/>
    <w:rsid w:val="002A56E9"/>
    <w:rsid w:val="002A65D5"/>
    <w:rsid w:val="002B033C"/>
    <w:rsid w:val="002B19FA"/>
    <w:rsid w:val="002B266A"/>
    <w:rsid w:val="002B61A9"/>
    <w:rsid w:val="002B7207"/>
    <w:rsid w:val="002B7846"/>
    <w:rsid w:val="002C0AEB"/>
    <w:rsid w:val="002C1DE9"/>
    <w:rsid w:val="002C55DB"/>
    <w:rsid w:val="002C6328"/>
    <w:rsid w:val="002C738A"/>
    <w:rsid w:val="002C790F"/>
    <w:rsid w:val="002D143A"/>
    <w:rsid w:val="002D183D"/>
    <w:rsid w:val="002D1D82"/>
    <w:rsid w:val="002D224B"/>
    <w:rsid w:val="002D6B3D"/>
    <w:rsid w:val="002E15E8"/>
    <w:rsid w:val="002E3105"/>
    <w:rsid w:val="002E329F"/>
    <w:rsid w:val="002E33F9"/>
    <w:rsid w:val="002E3FB2"/>
    <w:rsid w:val="002E5A33"/>
    <w:rsid w:val="002E61F6"/>
    <w:rsid w:val="002E7B38"/>
    <w:rsid w:val="002F07AE"/>
    <w:rsid w:val="002F2ABD"/>
    <w:rsid w:val="002F2F67"/>
    <w:rsid w:val="002F39D0"/>
    <w:rsid w:val="002F4B96"/>
    <w:rsid w:val="002F623F"/>
    <w:rsid w:val="002F6BE7"/>
    <w:rsid w:val="003009EA"/>
    <w:rsid w:val="003012CA"/>
    <w:rsid w:val="003012E8"/>
    <w:rsid w:val="00304482"/>
    <w:rsid w:val="003057BE"/>
    <w:rsid w:val="0030654D"/>
    <w:rsid w:val="00310593"/>
    <w:rsid w:val="003105D2"/>
    <w:rsid w:val="003143E2"/>
    <w:rsid w:val="003144A6"/>
    <w:rsid w:val="00315988"/>
    <w:rsid w:val="00316620"/>
    <w:rsid w:val="00316D64"/>
    <w:rsid w:val="003172C8"/>
    <w:rsid w:val="00317481"/>
    <w:rsid w:val="00321902"/>
    <w:rsid w:val="003221D8"/>
    <w:rsid w:val="0032281C"/>
    <w:rsid w:val="0032305C"/>
    <w:rsid w:val="00324580"/>
    <w:rsid w:val="00324FE9"/>
    <w:rsid w:val="003271CD"/>
    <w:rsid w:val="003273A6"/>
    <w:rsid w:val="00333687"/>
    <w:rsid w:val="003357C3"/>
    <w:rsid w:val="00336A8A"/>
    <w:rsid w:val="00336CB2"/>
    <w:rsid w:val="0034289E"/>
    <w:rsid w:val="00343058"/>
    <w:rsid w:val="00344089"/>
    <w:rsid w:val="003452FD"/>
    <w:rsid w:val="003461BB"/>
    <w:rsid w:val="00347BCC"/>
    <w:rsid w:val="003508F3"/>
    <w:rsid w:val="00352ACD"/>
    <w:rsid w:val="00353323"/>
    <w:rsid w:val="003535A3"/>
    <w:rsid w:val="0035529E"/>
    <w:rsid w:val="00355F32"/>
    <w:rsid w:val="00361339"/>
    <w:rsid w:val="0036261F"/>
    <w:rsid w:val="003651A3"/>
    <w:rsid w:val="003651DD"/>
    <w:rsid w:val="00365792"/>
    <w:rsid w:val="003672E3"/>
    <w:rsid w:val="00374C85"/>
    <w:rsid w:val="00374F6A"/>
    <w:rsid w:val="0037611D"/>
    <w:rsid w:val="00376403"/>
    <w:rsid w:val="00376C1D"/>
    <w:rsid w:val="00380CE0"/>
    <w:rsid w:val="00382616"/>
    <w:rsid w:val="0038298D"/>
    <w:rsid w:val="00384297"/>
    <w:rsid w:val="00386D11"/>
    <w:rsid w:val="00390235"/>
    <w:rsid w:val="00390B11"/>
    <w:rsid w:val="00390B16"/>
    <w:rsid w:val="00391695"/>
    <w:rsid w:val="00391998"/>
    <w:rsid w:val="00392810"/>
    <w:rsid w:val="00394232"/>
    <w:rsid w:val="0039479E"/>
    <w:rsid w:val="0039518F"/>
    <w:rsid w:val="0039533C"/>
    <w:rsid w:val="003A14A5"/>
    <w:rsid w:val="003A7A74"/>
    <w:rsid w:val="003B7D05"/>
    <w:rsid w:val="003C0FA0"/>
    <w:rsid w:val="003C1C9E"/>
    <w:rsid w:val="003C1D55"/>
    <w:rsid w:val="003C25C4"/>
    <w:rsid w:val="003C3879"/>
    <w:rsid w:val="003C39E0"/>
    <w:rsid w:val="003C5E41"/>
    <w:rsid w:val="003C62E5"/>
    <w:rsid w:val="003C6CB4"/>
    <w:rsid w:val="003C6DB8"/>
    <w:rsid w:val="003C6F37"/>
    <w:rsid w:val="003D028A"/>
    <w:rsid w:val="003D081B"/>
    <w:rsid w:val="003D169C"/>
    <w:rsid w:val="003D3BB3"/>
    <w:rsid w:val="003D3D44"/>
    <w:rsid w:val="003D5ED2"/>
    <w:rsid w:val="003D5FEE"/>
    <w:rsid w:val="003D632D"/>
    <w:rsid w:val="003D738D"/>
    <w:rsid w:val="003E0326"/>
    <w:rsid w:val="003E06AB"/>
    <w:rsid w:val="003E1B28"/>
    <w:rsid w:val="003E2B1A"/>
    <w:rsid w:val="003E3153"/>
    <w:rsid w:val="003E3BD5"/>
    <w:rsid w:val="003E493E"/>
    <w:rsid w:val="003E53BA"/>
    <w:rsid w:val="003F0B3A"/>
    <w:rsid w:val="003F0C1E"/>
    <w:rsid w:val="003F0E9B"/>
    <w:rsid w:val="003F1907"/>
    <w:rsid w:val="003F2F31"/>
    <w:rsid w:val="003F326B"/>
    <w:rsid w:val="003F55E2"/>
    <w:rsid w:val="003F5937"/>
    <w:rsid w:val="003F6C93"/>
    <w:rsid w:val="003F6E4D"/>
    <w:rsid w:val="00400CE8"/>
    <w:rsid w:val="00406AED"/>
    <w:rsid w:val="00407ED6"/>
    <w:rsid w:val="00411A38"/>
    <w:rsid w:val="00412A64"/>
    <w:rsid w:val="00415C50"/>
    <w:rsid w:val="004174AF"/>
    <w:rsid w:val="00417680"/>
    <w:rsid w:val="004221FD"/>
    <w:rsid w:val="00422C0D"/>
    <w:rsid w:val="004250FC"/>
    <w:rsid w:val="00431F20"/>
    <w:rsid w:val="0043236F"/>
    <w:rsid w:val="00434101"/>
    <w:rsid w:val="0043502E"/>
    <w:rsid w:val="0043581B"/>
    <w:rsid w:val="00436248"/>
    <w:rsid w:val="00437E5D"/>
    <w:rsid w:val="00440045"/>
    <w:rsid w:val="00441A14"/>
    <w:rsid w:val="00441C3F"/>
    <w:rsid w:val="00441ED5"/>
    <w:rsid w:val="004439E8"/>
    <w:rsid w:val="00444941"/>
    <w:rsid w:val="004451DB"/>
    <w:rsid w:val="00447C42"/>
    <w:rsid w:val="00450551"/>
    <w:rsid w:val="00452A50"/>
    <w:rsid w:val="00454134"/>
    <w:rsid w:val="00456963"/>
    <w:rsid w:val="00457A13"/>
    <w:rsid w:val="00457A33"/>
    <w:rsid w:val="00457B9E"/>
    <w:rsid w:val="0046076F"/>
    <w:rsid w:val="004611EB"/>
    <w:rsid w:val="004632DB"/>
    <w:rsid w:val="00464CA1"/>
    <w:rsid w:val="00464E5B"/>
    <w:rsid w:val="00465CD7"/>
    <w:rsid w:val="00472B3B"/>
    <w:rsid w:val="0047535B"/>
    <w:rsid w:val="00476392"/>
    <w:rsid w:val="004776C3"/>
    <w:rsid w:val="004806F5"/>
    <w:rsid w:val="00481067"/>
    <w:rsid w:val="004811E0"/>
    <w:rsid w:val="00481726"/>
    <w:rsid w:val="00482592"/>
    <w:rsid w:val="0048275F"/>
    <w:rsid w:val="00483E92"/>
    <w:rsid w:val="00484490"/>
    <w:rsid w:val="004848A0"/>
    <w:rsid w:val="00493165"/>
    <w:rsid w:val="00493511"/>
    <w:rsid w:val="0049716F"/>
    <w:rsid w:val="004A0C23"/>
    <w:rsid w:val="004A147D"/>
    <w:rsid w:val="004A2671"/>
    <w:rsid w:val="004A2BC9"/>
    <w:rsid w:val="004A3222"/>
    <w:rsid w:val="004A6BE2"/>
    <w:rsid w:val="004B07ED"/>
    <w:rsid w:val="004B0BAC"/>
    <w:rsid w:val="004B10C4"/>
    <w:rsid w:val="004B2EEE"/>
    <w:rsid w:val="004B3919"/>
    <w:rsid w:val="004B4323"/>
    <w:rsid w:val="004B651D"/>
    <w:rsid w:val="004B6D0B"/>
    <w:rsid w:val="004B70FD"/>
    <w:rsid w:val="004B7226"/>
    <w:rsid w:val="004C0017"/>
    <w:rsid w:val="004C0B92"/>
    <w:rsid w:val="004C2DD4"/>
    <w:rsid w:val="004C52F3"/>
    <w:rsid w:val="004C57BD"/>
    <w:rsid w:val="004C6376"/>
    <w:rsid w:val="004C648F"/>
    <w:rsid w:val="004C7F8B"/>
    <w:rsid w:val="004D4783"/>
    <w:rsid w:val="004D5171"/>
    <w:rsid w:val="004D6E6C"/>
    <w:rsid w:val="004E0419"/>
    <w:rsid w:val="004E0B1D"/>
    <w:rsid w:val="004E1260"/>
    <w:rsid w:val="004E1A18"/>
    <w:rsid w:val="004E2493"/>
    <w:rsid w:val="004E29B7"/>
    <w:rsid w:val="004E4634"/>
    <w:rsid w:val="004E5C30"/>
    <w:rsid w:val="004E712D"/>
    <w:rsid w:val="004E7366"/>
    <w:rsid w:val="004F05AF"/>
    <w:rsid w:val="004F2036"/>
    <w:rsid w:val="004F27CA"/>
    <w:rsid w:val="004F301B"/>
    <w:rsid w:val="004F3A40"/>
    <w:rsid w:val="004F4CAB"/>
    <w:rsid w:val="004F69DD"/>
    <w:rsid w:val="00501BBD"/>
    <w:rsid w:val="0050373D"/>
    <w:rsid w:val="00504A3C"/>
    <w:rsid w:val="00504A89"/>
    <w:rsid w:val="00505600"/>
    <w:rsid w:val="00506E5A"/>
    <w:rsid w:val="00510594"/>
    <w:rsid w:val="005109E5"/>
    <w:rsid w:val="00514271"/>
    <w:rsid w:val="00514B4D"/>
    <w:rsid w:val="00514CCC"/>
    <w:rsid w:val="00515A64"/>
    <w:rsid w:val="0051617C"/>
    <w:rsid w:val="005207CC"/>
    <w:rsid w:val="00521664"/>
    <w:rsid w:val="00521F8E"/>
    <w:rsid w:val="00522156"/>
    <w:rsid w:val="005229DC"/>
    <w:rsid w:val="00523ADF"/>
    <w:rsid w:val="00525566"/>
    <w:rsid w:val="0052597E"/>
    <w:rsid w:val="005265E9"/>
    <w:rsid w:val="00530002"/>
    <w:rsid w:val="005305E1"/>
    <w:rsid w:val="00531A53"/>
    <w:rsid w:val="00531E2A"/>
    <w:rsid w:val="00532DE7"/>
    <w:rsid w:val="00533C77"/>
    <w:rsid w:val="00534E09"/>
    <w:rsid w:val="0053677C"/>
    <w:rsid w:val="0053694B"/>
    <w:rsid w:val="00542CE3"/>
    <w:rsid w:val="00543B99"/>
    <w:rsid w:val="00543D85"/>
    <w:rsid w:val="00544861"/>
    <w:rsid w:val="00544C0E"/>
    <w:rsid w:val="005467CB"/>
    <w:rsid w:val="005507D1"/>
    <w:rsid w:val="00550A64"/>
    <w:rsid w:val="00551457"/>
    <w:rsid w:val="0055423B"/>
    <w:rsid w:val="0056317E"/>
    <w:rsid w:val="00565E12"/>
    <w:rsid w:val="005664D9"/>
    <w:rsid w:val="00566F01"/>
    <w:rsid w:val="00567DF9"/>
    <w:rsid w:val="00571CE2"/>
    <w:rsid w:val="00573AEC"/>
    <w:rsid w:val="00574721"/>
    <w:rsid w:val="00575000"/>
    <w:rsid w:val="0057757D"/>
    <w:rsid w:val="005802B6"/>
    <w:rsid w:val="0058135E"/>
    <w:rsid w:val="005831E3"/>
    <w:rsid w:val="00583F15"/>
    <w:rsid w:val="00584829"/>
    <w:rsid w:val="005862EF"/>
    <w:rsid w:val="0059018B"/>
    <w:rsid w:val="005908E4"/>
    <w:rsid w:val="00590CA7"/>
    <w:rsid w:val="005923E5"/>
    <w:rsid w:val="00593D45"/>
    <w:rsid w:val="0059527F"/>
    <w:rsid w:val="00597581"/>
    <w:rsid w:val="005A0079"/>
    <w:rsid w:val="005A0A89"/>
    <w:rsid w:val="005A0EFC"/>
    <w:rsid w:val="005A1A57"/>
    <w:rsid w:val="005A3391"/>
    <w:rsid w:val="005A3B0E"/>
    <w:rsid w:val="005A49C8"/>
    <w:rsid w:val="005A5D4C"/>
    <w:rsid w:val="005A61A3"/>
    <w:rsid w:val="005A61C2"/>
    <w:rsid w:val="005A6A51"/>
    <w:rsid w:val="005A7108"/>
    <w:rsid w:val="005B1E20"/>
    <w:rsid w:val="005B27E4"/>
    <w:rsid w:val="005B3FE7"/>
    <w:rsid w:val="005B5ABE"/>
    <w:rsid w:val="005B61D7"/>
    <w:rsid w:val="005C0B6F"/>
    <w:rsid w:val="005C125E"/>
    <w:rsid w:val="005C253E"/>
    <w:rsid w:val="005C53D1"/>
    <w:rsid w:val="005C5A7A"/>
    <w:rsid w:val="005D7165"/>
    <w:rsid w:val="005E01BC"/>
    <w:rsid w:val="005E0590"/>
    <w:rsid w:val="005E115A"/>
    <w:rsid w:val="005E1216"/>
    <w:rsid w:val="005E16E2"/>
    <w:rsid w:val="005E2965"/>
    <w:rsid w:val="005E2C7E"/>
    <w:rsid w:val="005E2E59"/>
    <w:rsid w:val="005E3B8B"/>
    <w:rsid w:val="005E4877"/>
    <w:rsid w:val="005F0964"/>
    <w:rsid w:val="005F104E"/>
    <w:rsid w:val="005F241A"/>
    <w:rsid w:val="005F249F"/>
    <w:rsid w:val="005F4EB4"/>
    <w:rsid w:val="005F7651"/>
    <w:rsid w:val="00601E1F"/>
    <w:rsid w:val="00601F76"/>
    <w:rsid w:val="00602FE0"/>
    <w:rsid w:val="00606441"/>
    <w:rsid w:val="00606F71"/>
    <w:rsid w:val="0060748B"/>
    <w:rsid w:val="00607ACC"/>
    <w:rsid w:val="00617096"/>
    <w:rsid w:val="006177CB"/>
    <w:rsid w:val="006221F3"/>
    <w:rsid w:val="006225B1"/>
    <w:rsid w:val="00625D88"/>
    <w:rsid w:val="006273A9"/>
    <w:rsid w:val="00631EC7"/>
    <w:rsid w:val="00632B57"/>
    <w:rsid w:val="0063463A"/>
    <w:rsid w:val="00634E57"/>
    <w:rsid w:val="006356AE"/>
    <w:rsid w:val="00636207"/>
    <w:rsid w:val="006364BB"/>
    <w:rsid w:val="0064064F"/>
    <w:rsid w:val="00640683"/>
    <w:rsid w:val="00642784"/>
    <w:rsid w:val="006434F9"/>
    <w:rsid w:val="0064381B"/>
    <w:rsid w:val="006440DA"/>
    <w:rsid w:val="0064469F"/>
    <w:rsid w:val="006446A1"/>
    <w:rsid w:val="00646E1A"/>
    <w:rsid w:val="006473F3"/>
    <w:rsid w:val="00647511"/>
    <w:rsid w:val="00650FAC"/>
    <w:rsid w:val="00652F49"/>
    <w:rsid w:val="00653EAC"/>
    <w:rsid w:val="0065441F"/>
    <w:rsid w:val="00655121"/>
    <w:rsid w:val="0065515F"/>
    <w:rsid w:val="00661D7F"/>
    <w:rsid w:val="00662431"/>
    <w:rsid w:val="006636E4"/>
    <w:rsid w:val="00663B37"/>
    <w:rsid w:val="006670C5"/>
    <w:rsid w:val="00667DEC"/>
    <w:rsid w:val="006712F5"/>
    <w:rsid w:val="00674838"/>
    <w:rsid w:val="00674990"/>
    <w:rsid w:val="00674A0D"/>
    <w:rsid w:val="006773F3"/>
    <w:rsid w:val="006806E8"/>
    <w:rsid w:val="00684D22"/>
    <w:rsid w:val="006862CC"/>
    <w:rsid w:val="00687F1D"/>
    <w:rsid w:val="00690C76"/>
    <w:rsid w:val="00690EE0"/>
    <w:rsid w:val="006928F2"/>
    <w:rsid w:val="006938C3"/>
    <w:rsid w:val="0069543A"/>
    <w:rsid w:val="006960EE"/>
    <w:rsid w:val="006962BC"/>
    <w:rsid w:val="006964C2"/>
    <w:rsid w:val="006A049B"/>
    <w:rsid w:val="006A056C"/>
    <w:rsid w:val="006A0B79"/>
    <w:rsid w:val="006A155A"/>
    <w:rsid w:val="006A225A"/>
    <w:rsid w:val="006B19DC"/>
    <w:rsid w:val="006B2184"/>
    <w:rsid w:val="006B24F3"/>
    <w:rsid w:val="006B26D4"/>
    <w:rsid w:val="006B737A"/>
    <w:rsid w:val="006B7941"/>
    <w:rsid w:val="006C0541"/>
    <w:rsid w:val="006C17B2"/>
    <w:rsid w:val="006C1A0B"/>
    <w:rsid w:val="006C1CB0"/>
    <w:rsid w:val="006C2910"/>
    <w:rsid w:val="006C7298"/>
    <w:rsid w:val="006C7E92"/>
    <w:rsid w:val="006D4157"/>
    <w:rsid w:val="006D4D7A"/>
    <w:rsid w:val="006D52F6"/>
    <w:rsid w:val="006D62EA"/>
    <w:rsid w:val="006D6991"/>
    <w:rsid w:val="006E0917"/>
    <w:rsid w:val="006E1312"/>
    <w:rsid w:val="006E259F"/>
    <w:rsid w:val="006E2D34"/>
    <w:rsid w:val="006E4FB6"/>
    <w:rsid w:val="006E7D57"/>
    <w:rsid w:val="006F1094"/>
    <w:rsid w:val="006F18C9"/>
    <w:rsid w:val="006F280C"/>
    <w:rsid w:val="006F365C"/>
    <w:rsid w:val="006F3C73"/>
    <w:rsid w:val="006F3CAF"/>
    <w:rsid w:val="00700AE5"/>
    <w:rsid w:val="00707EEB"/>
    <w:rsid w:val="00710899"/>
    <w:rsid w:val="0071144E"/>
    <w:rsid w:val="0071162A"/>
    <w:rsid w:val="00711A2F"/>
    <w:rsid w:val="00712B4E"/>
    <w:rsid w:val="00712E07"/>
    <w:rsid w:val="007146D5"/>
    <w:rsid w:val="007148BA"/>
    <w:rsid w:val="00714BEF"/>
    <w:rsid w:val="00715710"/>
    <w:rsid w:val="00715C83"/>
    <w:rsid w:val="0072060A"/>
    <w:rsid w:val="0072179B"/>
    <w:rsid w:val="007235B8"/>
    <w:rsid w:val="00723FAA"/>
    <w:rsid w:val="00724946"/>
    <w:rsid w:val="0072743E"/>
    <w:rsid w:val="007305D8"/>
    <w:rsid w:val="007311AC"/>
    <w:rsid w:val="00731BAE"/>
    <w:rsid w:val="00732A3E"/>
    <w:rsid w:val="00733E16"/>
    <w:rsid w:val="00736E5F"/>
    <w:rsid w:val="007408FC"/>
    <w:rsid w:val="00740C6B"/>
    <w:rsid w:val="00743296"/>
    <w:rsid w:val="00743C02"/>
    <w:rsid w:val="00745D9B"/>
    <w:rsid w:val="00745E5D"/>
    <w:rsid w:val="00746B86"/>
    <w:rsid w:val="007471C1"/>
    <w:rsid w:val="00747400"/>
    <w:rsid w:val="00750058"/>
    <w:rsid w:val="00751704"/>
    <w:rsid w:val="00752711"/>
    <w:rsid w:val="007574CE"/>
    <w:rsid w:val="00757D67"/>
    <w:rsid w:val="00761B2C"/>
    <w:rsid w:val="00765432"/>
    <w:rsid w:val="007657AB"/>
    <w:rsid w:val="00767254"/>
    <w:rsid w:val="00770413"/>
    <w:rsid w:val="00770910"/>
    <w:rsid w:val="0077094E"/>
    <w:rsid w:val="00774E2F"/>
    <w:rsid w:val="007760B4"/>
    <w:rsid w:val="007766EE"/>
    <w:rsid w:val="00777269"/>
    <w:rsid w:val="00777BB2"/>
    <w:rsid w:val="00780522"/>
    <w:rsid w:val="00780A2B"/>
    <w:rsid w:val="00781415"/>
    <w:rsid w:val="007831B1"/>
    <w:rsid w:val="00783A14"/>
    <w:rsid w:val="00783BFA"/>
    <w:rsid w:val="00783DB8"/>
    <w:rsid w:val="00783F19"/>
    <w:rsid w:val="00784860"/>
    <w:rsid w:val="007854EF"/>
    <w:rsid w:val="00785B41"/>
    <w:rsid w:val="00786885"/>
    <w:rsid w:val="00786AC2"/>
    <w:rsid w:val="007917F8"/>
    <w:rsid w:val="007933AF"/>
    <w:rsid w:val="00794DEC"/>
    <w:rsid w:val="0079557F"/>
    <w:rsid w:val="007961B2"/>
    <w:rsid w:val="0079709C"/>
    <w:rsid w:val="0079711A"/>
    <w:rsid w:val="007A026F"/>
    <w:rsid w:val="007A0FA4"/>
    <w:rsid w:val="007A123E"/>
    <w:rsid w:val="007A13A1"/>
    <w:rsid w:val="007A1762"/>
    <w:rsid w:val="007A1C3C"/>
    <w:rsid w:val="007A33AF"/>
    <w:rsid w:val="007A41E8"/>
    <w:rsid w:val="007A47BE"/>
    <w:rsid w:val="007A4FFE"/>
    <w:rsid w:val="007A54AE"/>
    <w:rsid w:val="007A5BAD"/>
    <w:rsid w:val="007A6027"/>
    <w:rsid w:val="007A7B1A"/>
    <w:rsid w:val="007B272A"/>
    <w:rsid w:val="007B2B28"/>
    <w:rsid w:val="007B3343"/>
    <w:rsid w:val="007B3548"/>
    <w:rsid w:val="007B439C"/>
    <w:rsid w:val="007B56FA"/>
    <w:rsid w:val="007C40B1"/>
    <w:rsid w:val="007C6C41"/>
    <w:rsid w:val="007C71BB"/>
    <w:rsid w:val="007C73A7"/>
    <w:rsid w:val="007D169F"/>
    <w:rsid w:val="007D31DA"/>
    <w:rsid w:val="007D3771"/>
    <w:rsid w:val="007D5825"/>
    <w:rsid w:val="007D5FB5"/>
    <w:rsid w:val="007D6283"/>
    <w:rsid w:val="007E0593"/>
    <w:rsid w:val="007E08E8"/>
    <w:rsid w:val="007E096E"/>
    <w:rsid w:val="007E2501"/>
    <w:rsid w:val="007E2A89"/>
    <w:rsid w:val="007E2CDF"/>
    <w:rsid w:val="007E4916"/>
    <w:rsid w:val="007E5D8D"/>
    <w:rsid w:val="007E6125"/>
    <w:rsid w:val="007E6C15"/>
    <w:rsid w:val="007E74AA"/>
    <w:rsid w:val="007F18CA"/>
    <w:rsid w:val="007F429B"/>
    <w:rsid w:val="007F45EF"/>
    <w:rsid w:val="007F5E43"/>
    <w:rsid w:val="007F6192"/>
    <w:rsid w:val="007F66D8"/>
    <w:rsid w:val="00801730"/>
    <w:rsid w:val="008042BB"/>
    <w:rsid w:val="008074A6"/>
    <w:rsid w:val="00807987"/>
    <w:rsid w:val="00813665"/>
    <w:rsid w:val="008175B1"/>
    <w:rsid w:val="00817DF5"/>
    <w:rsid w:val="00820AB0"/>
    <w:rsid w:val="00821916"/>
    <w:rsid w:val="00823B56"/>
    <w:rsid w:val="00824741"/>
    <w:rsid w:val="00824B8A"/>
    <w:rsid w:val="008251F8"/>
    <w:rsid w:val="0082613E"/>
    <w:rsid w:val="00826ABA"/>
    <w:rsid w:val="00832455"/>
    <w:rsid w:val="00833D99"/>
    <w:rsid w:val="00834141"/>
    <w:rsid w:val="00837D62"/>
    <w:rsid w:val="008408D7"/>
    <w:rsid w:val="00842482"/>
    <w:rsid w:val="0084272F"/>
    <w:rsid w:val="00843D10"/>
    <w:rsid w:val="00844A2F"/>
    <w:rsid w:val="00844AFF"/>
    <w:rsid w:val="00845642"/>
    <w:rsid w:val="008465BD"/>
    <w:rsid w:val="008470EB"/>
    <w:rsid w:val="008529C1"/>
    <w:rsid w:val="008578F5"/>
    <w:rsid w:val="0086105C"/>
    <w:rsid w:val="008644AF"/>
    <w:rsid w:val="00865807"/>
    <w:rsid w:val="00866504"/>
    <w:rsid w:val="0086662A"/>
    <w:rsid w:val="00866A26"/>
    <w:rsid w:val="00867097"/>
    <w:rsid w:val="008671FE"/>
    <w:rsid w:val="00872F86"/>
    <w:rsid w:val="008735A9"/>
    <w:rsid w:val="00873E33"/>
    <w:rsid w:val="00875FFC"/>
    <w:rsid w:val="00876E4E"/>
    <w:rsid w:val="00877A39"/>
    <w:rsid w:val="00880286"/>
    <w:rsid w:val="008807E8"/>
    <w:rsid w:val="008815F0"/>
    <w:rsid w:val="00882A7E"/>
    <w:rsid w:val="0088461A"/>
    <w:rsid w:val="008852F4"/>
    <w:rsid w:val="00885AD8"/>
    <w:rsid w:val="00885C17"/>
    <w:rsid w:val="00886FC6"/>
    <w:rsid w:val="00887448"/>
    <w:rsid w:val="00890ACA"/>
    <w:rsid w:val="00890F4A"/>
    <w:rsid w:val="0089346F"/>
    <w:rsid w:val="00894217"/>
    <w:rsid w:val="00894E87"/>
    <w:rsid w:val="00896E5A"/>
    <w:rsid w:val="008A2205"/>
    <w:rsid w:val="008A44C5"/>
    <w:rsid w:val="008A513A"/>
    <w:rsid w:val="008A6FE9"/>
    <w:rsid w:val="008A746F"/>
    <w:rsid w:val="008B310F"/>
    <w:rsid w:val="008B4836"/>
    <w:rsid w:val="008B49A8"/>
    <w:rsid w:val="008B4ABC"/>
    <w:rsid w:val="008B4D13"/>
    <w:rsid w:val="008B5561"/>
    <w:rsid w:val="008B6CD5"/>
    <w:rsid w:val="008B7FBB"/>
    <w:rsid w:val="008C0919"/>
    <w:rsid w:val="008C1CE8"/>
    <w:rsid w:val="008C2F53"/>
    <w:rsid w:val="008C4D19"/>
    <w:rsid w:val="008C501C"/>
    <w:rsid w:val="008C56BF"/>
    <w:rsid w:val="008C59A5"/>
    <w:rsid w:val="008C6875"/>
    <w:rsid w:val="008D1D08"/>
    <w:rsid w:val="008D3147"/>
    <w:rsid w:val="008D34D6"/>
    <w:rsid w:val="008D5953"/>
    <w:rsid w:val="008D5B3C"/>
    <w:rsid w:val="008D5D2B"/>
    <w:rsid w:val="008D6E47"/>
    <w:rsid w:val="008E0ABF"/>
    <w:rsid w:val="008E31A1"/>
    <w:rsid w:val="008E3203"/>
    <w:rsid w:val="008E396D"/>
    <w:rsid w:val="008E4EE0"/>
    <w:rsid w:val="008F02BD"/>
    <w:rsid w:val="008F1C6B"/>
    <w:rsid w:val="008F313A"/>
    <w:rsid w:val="008F5A31"/>
    <w:rsid w:val="008F732B"/>
    <w:rsid w:val="0090602E"/>
    <w:rsid w:val="00906697"/>
    <w:rsid w:val="00907051"/>
    <w:rsid w:val="00907B6D"/>
    <w:rsid w:val="0091075C"/>
    <w:rsid w:val="00910DD6"/>
    <w:rsid w:val="00910E2C"/>
    <w:rsid w:val="00911594"/>
    <w:rsid w:val="00911A2B"/>
    <w:rsid w:val="009123EC"/>
    <w:rsid w:val="009131A1"/>
    <w:rsid w:val="00913AC0"/>
    <w:rsid w:val="00915B65"/>
    <w:rsid w:val="00915C1C"/>
    <w:rsid w:val="00920014"/>
    <w:rsid w:val="00920E82"/>
    <w:rsid w:val="009223DC"/>
    <w:rsid w:val="0092514D"/>
    <w:rsid w:val="00930140"/>
    <w:rsid w:val="009307CF"/>
    <w:rsid w:val="00932111"/>
    <w:rsid w:val="00934F8B"/>
    <w:rsid w:val="00935639"/>
    <w:rsid w:val="00936392"/>
    <w:rsid w:val="00937300"/>
    <w:rsid w:val="0093772F"/>
    <w:rsid w:val="0093774B"/>
    <w:rsid w:val="00937A7E"/>
    <w:rsid w:val="00937E0A"/>
    <w:rsid w:val="00940B77"/>
    <w:rsid w:val="00944B68"/>
    <w:rsid w:val="00944E11"/>
    <w:rsid w:val="00950740"/>
    <w:rsid w:val="00950ACD"/>
    <w:rsid w:val="00953A28"/>
    <w:rsid w:val="00953F37"/>
    <w:rsid w:val="0095460F"/>
    <w:rsid w:val="00954B5F"/>
    <w:rsid w:val="009568FD"/>
    <w:rsid w:val="00957B74"/>
    <w:rsid w:val="00957EAD"/>
    <w:rsid w:val="009618EB"/>
    <w:rsid w:val="00962EAE"/>
    <w:rsid w:val="00963A3D"/>
    <w:rsid w:val="00964E95"/>
    <w:rsid w:val="009653AB"/>
    <w:rsid w:val="00967C45"/>
    <w:rsid w:val="00970745"/>
    <w:rsid w:val="00970C82"/>
    <w:rsid w:val="00972640"/>
    <w:rsid w:val="00972952"/>
    <w:rsid w:val="009765AA"/>
    <w:rsid w:val="009774C1"/>
    <w:rsid w:val="0098008C"/>
    <w:rsid w:val="009804C8"/>
    <w:rsid w:val="0098171E"/>
    <w:rsid w:val="009824CD"/>
    <w:rsid w:val="00983D53"/>
    <w:rsid w:val="00984397"/>
    <w:rsid w:val="00985271"/>
    <w:rsid w:val="00985D55"/>
    <w:rsid w:val="00985E84"/>
    <w:rsid w:val="0098602C"/>
    <w:rsid w:val="0098782F"/>
    <w:rsid w:val="00991565"/>
    <w:rsid w:val="009917BB"/>
    <w:rsid w:val="0099211C"/>
    <w:rsid w:val="00992B3D"/>
    <w:rsid w:val="00992F70"/>
    <w:rsid w:val="009939D8"/>
    <w:rsid w:val="009951D1"/>
    <w:rsid w:val="009967D3"/>
    <w:rsid w:val="00996D1E"/>
    <w:rsid w:val="009A0520"/>
    <w:rsid w:val="009A079A"/>
    <w:rsid w:val="009A0DD0"/>
    <w:rsid w:val="009A1192"/>
    <w:rsid w:val="009A4865"/>
    <w:rsid w:val="009A4C6D"/>
    <w:rsid w:val="009A5987"/>
    <w:rsid w:val="009B0BE4"/>
    <w:rsid w:val="009B0FC4"/>
    <w:rsid w:val="009B12B0"/>
    <w:rsid w:val="009B2078"/>
    <w:rsid w:val="009B4E97"/>
    <w:rsid w:val="009B6BD9"/>
    <w:rsid w:val="009C0756"/>
    <w:rsid w:val="009C118B"/>
    <w:rsid w:val="009C1AAE"/>
    <w:rsid w:val="009C1B9D"/>
    <w:rsid w:val="009C1E2C"/>
    <w:rsid w:val="009C51D1"/>
    <w:rsid w:val="009C7BB4"/>
    <w:rsid w:val="009D051B"/>
    <w:rsid w:val="009D15E7"/>
    <w:rsid w:val="009D1E7D"/>
    <w:rsid w:val="009D3448"/>
    <w:rsid w:val="009D3EED"/>
    <w:rsid w:val="009D51F1"/>
    <w:rsid w:val="009D5E2E"/>
    <w:rsid w:val="009D6132"/>
    <w:rsid w:val="009E0658"/>
    <w:rsid w:val="009E1574"/>
    <w:rsid w:val="009E18C9"/>
    <w:rsid w:val="009E3156"/>
    <w:rsid w:val="009E4653"/>
    <w:rsid w:val="009E5FEA"/>
    <w:rsid w:val="009E6044"/>
    <w:rsid w:val="009F2F84"/>
    <w:rsid w:val="009F4AFD"/>
    <w:rsid w:val="00A013A1"/>
    <w:rsid w:val="00A042D5"/>
    <w:rsid w:val="00A04999"/>
    <w:rsid w:val="00A11D0D"/>
    <w:rsid w:val="00A16B60"/>
    <w:rsid w:val="00A17A13"/>
    <w:rsid w:val="00A2281B"/>
    <w:rsid w:val="00A23E9B"/>
    <w:rsid w:val="00A24DFF"/>
    <w:rsid w:val="00A26F96"/>
    <w:rsid w:val="00A30B0C"/>
    <w:rsid w:val="00A33341"/>
    <w:rsid w:val="00A36866"/>
    <w:rsid w:val="00A37A44"/>
    <w:rsid w:val="00A40AE9"/>
    <w:rsid w:val="00A40E4C"/>
    <w:rsid w:val="00A43276"/>
    <w:rsid w:val="00A437BC"/>
    <w:rsid w:val="00A43FC1"/>
    <w:rsid w:val="00A447AB"/>
    <w:rsid w:val="00A460B0"/>
    <w:rsid w:val="00A471BE"/>
    <w:rsid w:val="00A50071"/>
    <w:rsid w:val="00A50EDF"/>
    <w:rsid w:val="00A534E7"/>
    <w:rsid w:val="00A543A3"/>
    <w:rsid w:val="00A56449"/>
    <w:rsid w:val="00A5759A"/>
    <w:rsid w:val="00A57DEC"/>
    <w:rsid w:val="00A60829"/>
    <w:rsid w:val="00A622F5"/>
    <w:rsid w:val="00A62D16"/>
    <w:rsid w:val="00A655C6"/>
    <w:rsid w:val="00A6787C"/>
    <w:rsid w:val="00A702D8"/>
    <w:rsid w:val="00A704DF"/>
    <w:rsid w:val="00A71D8D"/>
    <w:rsid w:val="00A72293"/>
    <w:rsid w:val="00A76132"/>
    <w:rsid w:val="00A76B21"/>
    <w:rsid w:val="00A804F5"/>
    <w:rsid w:val="00A8156C"/>
    <w:rsid w:val="00A830C0"/>
    <w:rsid w:val="00A84D17"/>
    <w:rsid w:val="00A84D78"/>
    <w:rsid w:val="00A85863"/>
    <w:rsid w:val="00A8637A"/>
    <w:rsid w:val="00A86998"/>
    <w:rsid w:val="00A86CA8"/>
    <w:rsid w:val="00A87A87"/>
    <w:rsid w:val="00A91C9A"/>
    <w:rsid w:val="00A92D03"/>
    <w:rsid w:val="00A92EC7"/>
    <w:rsid w:val="00A95AB8"/>
    <w:rsid w:val="00A9608F"/>
    <w:rsid w:val="00A96341"/>
    <w:rsid w:val="00A96834"/>
    <w:rsid w:val="00A97A3B"/>
    <w:rsid w:val="00AA0E99"/>
    <w:rsid w:val="00AA1027"/>
    <w:rsid w:val="00AA1279"/>
    <w:rsid w:val="00AA1A3C"/>
    <w:rsid w:val="00AA3330"/>
    <w:rsid w:val="00AA6754"/>
    <w:rsid w:val="00AA6CAA"/>
    <w:rsid w:val="00AA7F5D"/>
    <w:rsid w:val="00AB03B5"/>
    <w:rsid w:val="00AB0638"/>
    <w:rsid w:val="00AB3405"/>
    <w:rsid w:val="00AC0591"/>
    <w:rsid w:val="00AC06E8"/>
    <w:rsid w:val="00AC1722"/>
    <w:rsid w:val="00AC1EEF"/>
    <w:rsid w:val="00AC2635"/>
    <w:rsid w:val="00AC3D5E"/>
    <w:rsid w:val="00AC570F"/>
    <w:rsid w:val="00AC57C8"/>
    <w:rsid w:val="00AC5E19"/>
    <w:rsid w:val="00AC7ED3"/>
    <w:rsid w:val="00AD0378"/>
    <w:rsid w:val="00AD41E4"/>
    <w:rsid w:val="00AD7F20"/>
    <w:rsid w:val="00AE2D01"/>
    <w:rsid w:val="00AE475B"/>
    <w:rsid w:val="00AE47E1"/>
    <w:rsid w:val="00AE6C1D"/>
    <w:rsid w:val="00AE719C"/>
    <w:rsid w:val="00AE77E9"/>
    <w:rsid w:val="00AF0E1D"/>
    <w:rsid w:val="00AF2238"/>
    <w:rsid w:val="00AF2A41"/>
    <w:rsid w:val="00AF363E"/>
    <w:rsid w:val="00AF615A"/>
    <w:rsid w:val="00B0657A"/>
    <w:rsid w:val="00B066C8"/>
    <w:rsid w:val="00B06AC6"/>
    <w:rsid w:val="00B06AFC"/>
    <w:rsid w:val="00B07536"/>
    <w:rsid w:val="00B07806"/>
    <w:rsid w:val="00B10035"/>
    <w:rsid w:val="00B12C23"/>
    <w:rsid w:val="00B1366C"/>
    <w:rsid w:val="00B13DD6"/>
    <w:rsid w:val="00B155E5"/>
    <w:rsid w:val="00B15B70"/>
    <w:rsid w:val="00B20E5D"/>
    <w:rsid w:val="00B22252"/>
    <w:rsid w:val="00B2325F"/>
    <w:rsid w:val="00B24946"/>
    <w:rsid w:val="00B26098"/>
    <w:rsid w:val="00B301E7"/>
    <w:rsid w:val="00B3065F"/>
    <w:rsid w:val="00B3211A"/>
    <w:rsid w:val="00B32AF5"/>
    <w:rsid w:val="00B339D5"/>
    <w:rsid w:val="00B33FFF"/>
    <w:rsid w:val="00B353AB"/>
    <w:rsid w:val="00B35AE8"/>
    <w:rsid w:val="00B35CE6"/>
    <w:rsid w:val="00B36FA6"/>
    <w:rsid w:val="00B42F0B"/>
    <w:rsid w:val="00B4554E"/>
    <w:rsid w:val="00B4712D"/>
    <w:rsid w:val="00B5035C"/>
    <w:rsid w:val="00B5043C"/>
    <w:rsid w:val="00B520EF"/>
    <w:rsid w:val="00B52824"/>
    <w:rsid w:val="00B52A65"/>
    <w:rsid w:val="00B53F4D"/>
    <w:rsid w:val="00B55D73"/>
    <w:rsid w:val="00B61C82"/>
    <w:rsid w:val="00B630AC"/>
    <w:rsid w:val="00B63A9C"/>
    <w:rsid w:val="00B63D93"/>
    <w:rsid w:val="00B641DD"/>
    <w:rsid w:val="00B6487E"/>
    <w:rsid w:val="00B700C8"/>
    <w:rsid w:val="00B72429"/>
    <w:rsid w:val="00B727CC"/>
    <w:rsid w:val="00B730C4"/>
    <w:rsid w:val="00B735BF"/>
    <w:rsid w:val="00B74D41"/>
    <w:rsid w:val="00B74D63"/>
    <w:rsid w:val="00B75347"/>
    <w:rsid w:val="00B769A6"/>
    <w:rsid w:val="00B84C0D"/>
    <w:rsid w:val="00B84FE8"/>
    <w:rsid w:val="00B909B2"/>
    <w:rsid w:val="00B96226"/>
    <w:rsid w:val="00B97F07"/>
    <w:rsid w:val="00BA066D"/>
    <w:rsid w:val="00BA2A26"/>
    <w:rsid w:val="00BA3110"/>
    <w:rsid w:val="00BA536A"/>
    <w:rsid w:val="00BA7214"/>
    <w:rsid w:val="00BB0397"/>
    <w:rsid w:val="00BB0B53"/>
    <w:rsid w:val="00BB1523"/>
    <w:rsid w:val="00BB2462"/>
    <w:rsid w:val="00BB3451"/>
    <w:rsid w:val="00BB66A1"/>
    <w:rsid w:val="00BB7679"/>
    <w:rsid w:val="00BB769C"/>
    <w:rsid w:val="00BC1011"/>
    <w:rsid w:val="00BC1DAF"/>
    <w:rsid w:val="00BC2046"/>
    <w:rsid w:val="00BC2375"/>
    <w:rsid w:val="00BC3385"/>
    <w:rsid w:val="00BC3DE4"/>
    <w:rsid w:val="00BC4037"/>
    <w:rsid w:val="00BC5DCC"/>
    <w:rsid w:val="00BC5E64"/>
    <w:rsid w:val="00BD0A28"/>
    <w:rsid w:val="00BD0B89"/>
    <w:rsid w:val="00BD1426"/>
    <w:rsid w:val="00BD263A"/>
    <w:rsid w:val="00BD3CB5"/>
    <w:rsid w:val="00BD409F"/>
    <w:rsid w:val="00BD52ED"/>
    <w:rsid w:val="00BE203B"/>
    <w:rsid w:val="00BE6A84"/>
    <w:rsid w:val="00BF0E4C"/>
    <w:rsid w:val="00BF23AB"/>
    <w:rsid w:val="00BF5103"/>
    <w:rsid w:val="00BF68ED"/>
    <w:rsid w:val="00C0222B"/>
    <w:rsid w:val="00C02E98"/>
    <w:rsid w:val="00C0307F"/>
    <w:rsid w:val="00C0337E"/>
    <w:rsid w:val="00C04147"/>
    <w:rsid w:val="00C04651"/>
    <w:rsid w:val="00C077A2"/>
    <w:rsid w:val="00C113DE"/>
    <w:rsid w:val="00C113EF"/>
    <w:rsid w:val="00C11B83"/>
    <w:rsid w:val="00C126F7"/>
    <w:rsid w:val="00C13418"/>
    <w:rsid w:val="00C13BEC"/>
    <w:rsid w:val="00C14249"/>
    <w:rsid w:val="00C17382"/>
    <w:rsid w:val="00C17809"/>
    <w:rsid w:val="00C21842"/>
    <w:rsid w:val="00C226E8"/>
    <w:rsid w:val="00C23A5C"/>
    <w:rsid w:val="00C24BF0"/>
    <w:rsid w:val="00C2544C"/>
    <w:rsid w:val="00C25830"/>
    <w:rsid w:val="00C260A6"/>
    <w:rsid w:val="00C26BC0"/>
    <w:rsid w:val="00C27031"/>
    <w:rsid w:val="00C272BA"/>
    <w:rsid w:val="00C275B1"/>
    <w:rsid w:val="00C300DE"/>
    <w:rsid w:val="00C30C1D"/>
    <w:rsid w:val="00C30C94"/>
    <w:rsid w:val="00C31E17"/>
    <w:rsid w:val="00C324D1"/>
    <w:rsid w:val="00C33C66"/>
    <w:rsid w:val="00C35181"/>
    <w:rsid w:val="00C35937"/>
    <w:rsid w:val="00C40030"/>
    <w:rsid w:val="00C4200B"/>
    <w:rsid w:val="00C42489"/>
    <w:rsid w:val="00C42C41"/>
    <w:rsid w:val="00C45042"/>
    <w:rsid w:val="00C4635E"/>
    <w:rsid w:val="00C4738F"/>
    <w:rsid w:val="00C50E30"/>
    <w:rsid w:val="00C51122"/>
    <w:rsid w:val="00C54655"/>
    <w:rsid w:val="00C54770"/>
    <w:rsid w:val="00C55BAF"/>
    <w:rsid w:val="00C5697D"/>
    <w:rsid w:val="00C65BF0"/>
    <w:rsid w:val="00C664E7"/>
    <w:rsid w:val="00C668AD"/>
    <w:rsid w:val="00C70B25"/>
    <w:rsid w:val="00C70CD7"/>
    <w:rsid w:val="00C73FB2"/>
    <w:rsid w:val="00C75A23"/>
    <w:rsid w:val="00C76BB2"/>
    <w:rsid w:val="00C778AA"/>
    <w:rsid w:val="00C778D6"/>
    <w:rsid w:val="00C8018D"/>
    <w:rsid w:val="00C8102D"/>
    <w:rsid w:val="00C830AC"/>
    <w:rsid w:val="00C90215"/>
    <w:rsid w:val="00C9023D"/>
    <w:rsid w:val="00C916CB"/>
    <w:rsid w:val="00C92A96"/>
    <w:rsid w:val="00C92FD1"/>
    <w:rsid w:val="00C92FEF"/>
    <w:rsid w:val="00C93479"/>
    <w:rsid w:val="00C93EC2"/>
    <w:rsid w:val="00C94DE4"/>
    <w:rsid w:val="00C950A4"/>
    <w:rsid w:val="00C96FC5"/>
    <w:rsid w:val="00CA038D"/>
    <w:rsid w:val="00CA0914"/>
    <w:rsid w:val="00CA565D"/>
    <w:rsid w:val="00CB0006"/>
    <w:rsid w:val="00CB56AB"/>
    <w:rsid w:val="00CB56E2"/>
    <w:rsid w:val="00CB57D3"/>
    <w:rsid w:val="00CB591E"/>
    <w:rsid w:val="00CB68A4"/>
    <w:rsid w:val="00CB793E"/>
    <w:rsid w:val="00CC17FF"/>
    <w:rsid w:val="00CC1D9C"/>
    <w:rsid w:val="00CC372A"/>
    <w:rsid w:val="00CC3EA2"/>
    <w:rsid w:val="00CC42B8"/>
    <w:rsid w:val="00CC65EE"/>
    <w:rsid w:val="00CC77AB"/>
    <w:rsid w:val="00CD0880"/>
    <w:rsid w:val="00CD105F"/>
    <w:rsid w:val="00CD1CF0"/>
    <w:rsid w:val="00CD2F94"/>
    <w:rsid w:val="00CD3BC3"/>
    <w:rsid w:val="00CD4D12"/>
    <w:rsid w:val="00CD5EC8"/>
    <w:rsid w:val="00CD61C8"/>
    <w:rsid w:val="00CE0894"/>
    <w:rsid w:val="00CE1601"/>
    <w:rsid w:val="00CE2034"/>
    <w:rsid w:val="00CE379A"/>
    <w:rsid w:val="00CE4405"/>
    <w:rsid w:val="00CE54EB"/>
    <w:rsid w:val="00CE5BD9"/>
    <w:rsid w:val="00CE6083"/>
    <w:rsid w:val="00CE7A60"/>
    <w:rsid w:val="00CF10DC"/>
    <w:rsid w:val="00CF5768"/>
    <w:rsid w:val="00D04342"/>
    <w:rsid w:val="00D04517"/>
    <w:rsid w:val="00D04636"/>
    <w:rsid w:val="00D04EDD"/>
    <w:rsid w:val="00D05BA3"/>
    <w:rsid w:val="00D05DB3"/>
    <w:rsid w:val="00D12322"/>
    <w:rsid w:val="00D12D6D"/>
    <w:rsid w:val="00D14948"/>
    <w:rsid w:val="00D15F5E"/>
    <w:rsid w:val="00D201B7"/>
    <w:rsid w:val="00D20468"/>
    <w:rsid w:val="00D21C90"/>
    <w:rsid w:val="00D21D48"/>
    <w:rsid w:val="00D22658"/>
    <w:rsid w:val="00D23C5A"/>
    <w:rsid w:val="00D24D1C"/>
    <w:rsid w:val="00D25049"/>
    <w:rsid w:val="00D262D8"/>
    <w:rsid w:val="00D31B7C"/>
    <w:rsid w:val="00D31BD7"/>
    <w:rsid w:val="00D341F0"/>
    <w:rsid w:val="00D36171"/>
    <w:rsid w:val="00D3756D"/>
    <w:rsid w:val="00D467FC"/>
    <w:rsid w:val="00D47536"/>
    <w:rsid w:val="00D5016B"/>
    <w:rsid w:val="00D50172"/>
    <w:rsid w:val="00D50D07"/>
    <w:rsid w:val="00D5216F"/>
    <w:rsid w:val="00D52454"/>
    <w:rsid w:val="00D536F7"/>
    <w:rsid w:val="00D53C04"/>
    <w:rsid w:val="00D54D5F"/>
    <w:rsid w:val="00D558A2"/>
    <w:rsid w:val="00D57406"/>
    <w:rsid w:val="00D57CA7"/>
    <w:rsid w:val="00D57DB1"/>
    <w:rsid w:val="00D61907"/>
    <w:rsid w:val="00D64762"/>
    <w:rsid w:val="00D65931"/>
    <w:rsid w:val="00D6633A"/>
    <w:rsid w:val="00D6737D"/>
    <w:rsid w:val="00D6746C"/>
    <w:rsid w:val="00D6775B"/>
    <w:rsid w:val="00D72792"/>
    <w:rsid w:val="00D7498A"/>
    <w:rsid w:val="00D75053"/>
    <w:rsid w:val="00D75339"/>
    <w:rsid w:val="00D75740"/>
    <w:rsid w:val="00D75D07"/>
    <w:rsid w:val="00D76CD7"/>
    <w:rsid w:val="00D7755C"/>
    <w:rsid w:val="00D77FF9"/>
    <w:rsid w:val="00D805DD"/>
    <w:rsid w:val="00D817C1"/>
    <w:rsid w:val="00D83E00"/>
    <w:rsid w:val="00D84378"/>
    <w:rsid w:val="00D9039F"/>
    <w:rsid w:val="00D9094F"/>
    <w:rsid w:val="00D90994"/>
    <w:rsid w:val="00D9437C"/>
    <w:rsid w:val="00D96453"/>
    <w:rsid w:val="00D968AB"/>
    <w:rsid w:val="00D97EC3"/>
    <w:rsid w:val="00DA1C4A"/>
    <w:rsid w:val="00DA31C6"/>
    <w:rsid w:val="00DA3889"/>
    <w:rsid w:val="00DA5DA9"/>
    <w:rsid w:val="00DA6639"/>
    <w:rsid w:val="00DA697F"/>
    <w:rsid w:val="00DA6FA1"/>
    <w:rsid w:val="00DA7A72"/>
    <w:rsid w:val="00DB01F5"/>
    <w:rsid w:val="00DB2799"/>
    <w:rsid w:val="00DB36D2"/>
    <w:rsid w:val="00DB577B"/>
    <w:rsid w:val="00DB6C48"/>
    <w:rsid w:val="00DB7336"/>
    <w:rsid w:val="00DC1362"/>
    <w:rsid w:val="00DC2881"/>
    <w:rsid w:val="00DC349B"/>
    <w:rsid w:val="00DC4985"/>
    <w:rsid w:val="00DC51D7"/>
    <w:rsid w:val="00DC5A76"/>
    <w:rsid w:val="00DC7A14"/>
    <w:rsid w:val="00DD1561"/>
    <w:rsid w:val="00DD2E5D"/>
    <w:rsid w:val="00DD2F2C"/>
    <w:rsid w:val="00DD4C56"/>
    <w:rsid w:val="00DE0E1C"/>
    <w:rsid w:val="00DE2B70"/>
    <w:rsid w:val="00DE2E40"/>
    <w:rsid w:val="00DE39C3"/>
    <w:rsid w:val="00DE4476"/>
    <w:rsid w:val="00DE6C47"/>
    <w:rsid w:val="00DE6E82"/>
    <w:rsid w:val="00DE7896"/>
    <w:rsid w:val="00DF01A5"/>
    <w:rsid w:val="00DF06AE"/>
    <w:rsid w:val="00DF094E"/>
    <w:rsid w:val="00DF4D4B"/>
    <w:rsid w:val="00DF5230"/>
    <w:rsid w:val="00DF5A4A"/>
    <w:rsid w:val="00DF6C8F"/>
    <w:rsid w:val="00DF7679"/>
    <w:rsid w:val="00DF7B14"/>
    <w:rsid w:val="00E0064B"/>
    <w:rsid w:val="00E02768"/>
    <w:rsid w:val="00E02BFB"/>
    <w:rsid w:val="00E050BA"/>
    <w:rsid w:val="00E06049"/>
    <w:rsid w:val="00E06595"/>
    <w:rsid w:val="00E06970"/>
    <w:rsid w:val="00E07000"/>
    <w:rsid w:val="00E113A0"/>
    <w:rsid w:val="00E124A6"/>
    <w:rsid w:val="00E1404D"/>
    <w:rsid w:val="00E15063"/>
    <w:rsid w:val="00E15230"/>
    <w:rsid w:val="00E15846"/>
    <w:rsid w:val="00E16A9C"/>
    <w:rsid w:val="00E17ED5"/>
    <w:rsid w:val="00E20655"/>
    <w:rsid w:val="00E2370F"/>
    <w:rsid w:val="00E259FB"/>
    <w:rsid w:val="00E25F24"/>
    <w:rsid w:val="00E265DA"/>
    <w:rsid w:val="00E325BE"/>
    <w:rsid w:val="00E33A9C"/>
    <w:rsid w:val="00E349F7"/>
    <w:rsid w:val="00E36018"/>
    <w:rsid w:val="00E37170"/>
    <w:rsid w:val="00E40526"/>
    <w:rsid w:val="00E410BC"/>
    <w:rsid w:val="00E41E42"/>
    <w:rsid w:val="00E43B62"/>
    <w:rsid w:val="00E443ED"/>
    <w:rsid w:val="00E478FB"/>
    <w:rsid w:val="00E50879"/>
    <w:rsid w:val="00E50BED"/>
    <w:rsid w:val="00E50FDE"/>
    <w:rsid w:val="00E52105"/>
    <w:rsid w:val="00E53737"/>
    <w:rsid w:val="00E5406A"/>
    <w:rsid w:val="00E55256"/>
    <w:rsid w:val="00E55EAC"/>
    <w:rsid w:val="00E568CF"/>
    <w:rsid w:val="00E6062D"/>
    <w:rsid w:val="00E62AF0"/>
    <w:rsid w:val="00E66FCE"/>
    <w:rsid w:val="00E6715B"/>
    <w:rsid w:val="00E67481"/>
    <w:rsid w:val="00E67BA6"/>
    <w:rsid w:val="00E706CD"/>
    <w:rsid w:val="00E713F1"/>
    <w:rsid w:val="00E719B1"/>
    <w:rsid w:val="00E723E4"/>
    <w:rsid w:val="00E74B6F"/>
    <w:rsid w:val="00E82FCF"/>
    <w:rsid w:val="00E83635"/>
    <w:rsid w:val="00E83988"/>
    <w:rsid w:val="00E8409D"/>
    <w:rsid w:val="00E84B99"/>
    <w:rsid w:val="00E85543"/>
    <w:rsid w:val="00E85CC6"/>
    <w:rsid w:val="00E87E47"/>
    <w:rsid w:val="00E92893"/>
    <w:rsid w:val="00E92D18"/>
    <w:rsid w:val="00E93641"/>
    <w:rsid w:val="00E93D1E"/>
    <w:rsid w:val="00E94FE5"/>
    <w:rsid w:val="00E96E5C"/>
    <w:rsid w:val="00EA0CB2"/>
    <w:rsid w:val="00EA13E5"/>
    <w:rsid w:val="00EA2B5E"/>
    <w:rsid w:val="00EA336D"/>
    <w:rsid w:val="00EA449A"/>
    <w:rsid w:val="00EA44EB"/>
    <w:rsid w:val="00EA5FD0"/>
    <w:rsid w:val="00EB1D18"/>
    <w:rsid w:val="00EB1EF8"/>
    <w:rsid w:val="00EB22A9"/>
    <w:rsid w:val="00EB2F48"/>
    <w:rsid w:val="00EB4CC0"/>
    <w:rsid w:val="00EB5214"/>
    <w:rsid w:val="00EB65B8"/>
    <w:rsid w:val="00EB69A6"/>
    <w:rsid w:val="00EB7932"/>
    <w:rsid w:val="00EC3DB3"/>
    <w:rsid w:val="00EC41B3"/>
    <w:rsid w:val="00ED07A1"/>
    <w:rsid w:val="00ED32A5"/>
    <w:rsid w:val="00ED4240"/>
    <w:rsid w:val="00ED4ACB"/>
    <w:rsid w:val="00ED5804"/>
    <w:rsid w:val="00ED6360"/>
    <w:rsid w:val="00ED72F5"/>
    <w:rsid w:val="00EE02A6"/>
    <w:rsid w:val="00EE0873"/>
    <w:rsid w:val="00EE39C0"/>
    <w:rsid w:val="00EE39FD"/>
    <w:rsid w:val="00EE4207"/>
    <w:rsid w:val="00EE58E3"/>
    <w:rsid w:val="00EE6E4E"/>
    <w:rsid w:val="00EF15C9"/>
    <w:rsid w:val="00EF22FC"/>
    <w:rsid w:val="00EF2EDB"/>
    <w:rsid w:val="00EF3405"/>
    <w:rsid w:val="00EF54AF"/>
    <w:rsid w:val="00EF7E59"/>
    <w:rsid w:val="00F020A0"/>
    <w:rsid w:val="00F04178"/>
    <w:rsid w:val="00F10345"/>
    <w:rsid w:val="00F107F6"/>
    <w:rsid w:val="00F10B91"/>
    <w:rsid w:val="00F1374C"/>
    <w:rsid w:val="00F13E96"/>
    <w:rsid w:val="00F1524E"/>
    <w:rsid w:val="00F159AD"/>
    <w:rsid w:val="00F15E8E"/>
    <w:rsid w:val="00F16B70"/>
    <w:rsid w:val="00F17F62"/>
    <w:rsid w:val="00F17F9D"/>
    <w:rsid w:val="00F21D16"/>
    <w:rsid w:val="00F23B72"/>
    <w:rsid w:val="00F23DAF"/>
    <w:rsid w:val="00F24503"/>
    <w:rsid w:val="00F24715"/>
    <w:rsid w:val="00F25492"/>
    <w:rsid w:val="00F26A3E"/>
    <w:rsid w:val="00F31FEB"/>
    <w:rsid w:val="00F365E8"/>
    <w:rsid w:val="00F36A86"/>
    <w:rsid w:val="00F37244"/>
    <w:rsid w:val="00F37318"/>
    <w:rsid w:val="00F37933"/>
    <w:rsid w:val="00F40E82"/>
    <w:rsid w:val="00F41FE2"/>
    <w:rsid w:val="00F421C4"/>
    <w:rsid w:val="00F43BA4"/>
    <w:rsid w:val="00F460E3"/>
    <w:rsid w:val="00F46960"/>
    <w:rsid w:val="00F47C81"/>
    <w:rsid w:val="00F508C8"/>
    <w:rsid w:val="00F510A0"/>
    <w:rsid w:val="00F51710"/>
    <w:rsid w:val="00F51ACA"/>
    <w:rsid w:val="00F60858"/>
    <w:rsid w:val="00F60B59"/>
    <w:rsid w:val="00F63388"/>
    <w:rsid w:val="00F641F7"/>
    <w:rsid w:val="00F642E2"/>
    <w:rsid w:val="00F6448D"/>
    <w:rsid w:val="00F645E5"/>
    <w:rsid w:val="00F702A8"/>
    <w:rsid w:val="00F70479"/>
    <w:rsid w:val="00F7195E"/>
    <w:rsid w:val="00F71EEC"/>
    <w:rsid w:val="00F72236"/>
    <w:rsid w:val="00F7370B"/>
    <w:rsid w:val="00F7378E"/>
    <w:rsid w:val="00F73BE6"/>
    <w:rsid w:val="00F7567B"/>
    <w:rsid w:val="00F75906"/>
    <w:rsid w:val="00F760CA"/>
    <w:rsid w:val="00F76A42"/>
    <w:rsid w:val="00F76C7B"/>
    <w:rsid w:val="00F77F7C"/>
    <w:rsid w:val="00F822B2"/>
    <w:rsid w:val="00F82AF3"/>
    <w:rsid w:val="00F83967"/>
    <w:rsid w:val="00F839C4"/>
    <w:rsid w:val="00F84399"/>
    <w:rsid w:val="00F85A90"/>
    <w:rsid w:val="00F8615E"/>
    <w:rsid w:val="00F90AB2"/>
    <w:rsid w:val="00F917D9"/>
    <w:rsid w:val="00F92E49"/>
    <w:rsid w:val="00F94745"/>
    <w:rsid w:val="00F953A5"/>
    <w:rsid w:val="00F96E2C"/>
    <w:rsid w:val="00F9794F"/>
    <w:rsid w:val="00FA2350"/>
    <w:rsid w:val="00FA778C"/>
    <w:rsid w:val="00FB4594"/>
    <w:rsid w:val="00FB4F47"/>
    <w:rsid w:val="00FB558C"/>
    <w:rsid w:val="00FB5BFC"/>
    <w:rsid w:val="00FB665B"/>
    <w:rsid w:val="00FB762C"/>
    <w:rsid w:val="00FC1937"/>
    <w:rsid w:val="00FC29DB"/>
    <w:rsid w:val="00FC3306"/>
    <w:rsid w:val="00FC4CC9"/>
    <w:rsid w:val="00FD4515"/>
    <w:rsid w:val="00FD51E4"/>
    <w:rsid w:val="00FD6AD0"/>
    <w:rsid w:val="00FD7D0A"/>
    <w:rsid w:val="00FE01E3"/>
    <w:rsid w:val="00FE02E9"/>
    <w:rsid w:val="00FE0F09"/>
    <w:rsid w:val="00FE11D5"/>
    <w:rsid w:val="00FE14E1"/>
    <w:rsid w:val="00FE28C6"/>
    <w:rsid w:val="00FF0034"/>
    <w:rsid w:val="00FF0B62"/>
    <w:rsid w:val="00FF2DB9"/>
    <w:rsid w:val="00FF3D58"/>
    <w:rsid w:val="00FF59A3"/>
    <w:rsid w:val="00FF7954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ЛидерСпецТранс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</dc:creator>
  <cp:keywords/>
  <dc:description/>
  <cp:lastModifiedBy>Ibragimov</cp:lastModifiedBy>
  <cp:revision>2</cp:revision>
  <dcterms:created xsi:type="dcterms:W3CDTF">2013-04-16T11:41:00Z</dcterms:created>
  <dcterms:modified xsi:type="dcterms:W3CDTF">2013-04-16T12:02:00Z</dcterms:modified>
</cp:coreProperties>
</file>